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NotaTesta"/>
        <w:keepNext/>
        <w:spacing w:after="20" w:before="0" w:line="240"/>
        <w:jc w:val="left"/>
      </w:pPr>
      <w:bookmarkStart w:name="modello_1" w:id="1"/>
      <w:r>
        <w:rPr>
          <w:rFonts w:ascii="Calibri" w:cs="Calibri" w:eastAsia="Calibri" w:hAnsi="Calibri"/>
          <w:color w:val="7A817E"/>
          <w:sz w:val="16"/>
          <w:szCs w:val="16"/>
        </w:rPr>
        <w:t xml:space="preserve">Bozza da adattare al caso concreto e da sottoscrivere dal difensore</w:t>
      </w:r>
      <w:bookmarkEnd w:id="1"/>
    </w:p>
    <w:p>
      <w:pPr>
        <w:pStyle w:val="NotaTesta"/>
        <w:keepNext/>
        <w:spacing w:after="20" w:before="0" w:line="240"/>
        <w:jc w:val="left"/>
      </w:pPr>
      <w:r>
        <w:rPr>
          <w:rFonts w:ascii="Calibri" w:cs="Calibri" w:eastAsia="Calibri" w:hAnsi="Calibri"/>
          <w:color w:val="7A817E"/>
          <w:sz w:val="16"/>
          <w:szCs w:val="16"/>
        </w:rPr>
        <w:t xml:space="preserve">BOZZA — da rivedere e sottoscrivere dal difensore</w:t>
      </w:r>
    </w:p>
    <w:p>
      <w:pPr>
        <w:pStyle w:val="NotaTesta"/>
        <w:keepNext/>
        <w:pBdr>
          <w:bottom w:val="single" w:color="D9DAD2" w:sz="4" w:space="6"/>
        </w:pBdr>
        <w:spacing w:after="200" w:before="0" w:line="240"/>
        <w:jc w:val="left"/>
      </w:pPr>
      <w:r>
        <w:rPr>
          <w:rFonts w:ascii="Calibri" w:cs="Calibri" w:eastAsia="Calibri" w:hAnsi="Calibri"/>
          <w:color w:val="7A817E"/>
          <w:sz w:val="16"/>
          <w:szCs w:val="16"/>
        </w:rPr>
        <w:t xml:space="preserve">Legenda: </w:t>
      </w:r>
      <w:r>
        <w:rPr>
          <w:rFonts w:ascii="Calibri" w:cs="Calibri" w:eastAsia="Calibri" w:hAnsi="Calibri"/>
          <w:color w:val="16191A"/>
          <w:sz w:val="16"/>
          <w:szCs w:val="16"/>
          <w:highlight w:val="yellow"/>
          <w:highlightCs w:val="yellow"/>
        </w:rPr>
        <w:t xml:space="preserve">campo da compilare</w:t>
      </w:r>
      <w:r>
        <w:rPr>
          <w:rFonts w:ascii="Calibri" w:cs="Calibri" w:eastAsia="Calibri" w:hAnsi="Calibri"/>
          <w:color w:val="7A817E"/>
          <w:sz w:val="16"/>
          <w:szCs w:val="16"/>
        </w:rPr>
        <w:t xml:space="preserve">  ·  </w:t>
      </w:r>
      <w:r>
        <w:rPr>
          <w:rFonts w:ascii="Calibri" w:cs="Calibri" w:eastAsia="Calibri" w:hAnsi="Calibri"/>
          <w:color w:val="16191A"/>
          <w:sz w:val="16"/>
          <w:szCs w:val="16"/>
          <w:shd w:fill="DCDCDC" w:color="auto" w:val="clear"/>
        </w:rPr>
        <w:t xml:space="preserve">variante (fondo o riquadro grigio): scegliere e cancellare le altre</w:t>
      </w:r>
    </w:p>
    <w:p>
      <w:pPr>
        <w:pStyle w:val="Atto"/>
        <w:keepNext/>
        <w:spacing w:after="60" w:before="240" w:line="300"/>
        <w:jc w:val="center"/>
      </w:pPr>
      <w:r>
        <w:rPr>
          <w:rFonts w:ascii="Times New Roman" w:cs="Times New Roman" w:eastAsia="Times New Roman" w:hAnsi="Times New Roman"/>
          <w:b/>
          <w:bCs/>
          <w:spacing w:val="30"/>
          <w:sz w:val="30"/>
          <w:szCs w:val="30"/>
        </w:rPr>
        <w:t xml:space="preserve">ATTO DI PRECETTO</w:t>
      </w:r>
    </w:p>
    <w:p>
      <w:pPr>
        <w:pStyle w:val="Atto"/>
        <w:spacing w:after="24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(artt. 479 e 480 c.p.c.)</w:t>
      </w:r>
    </w:p>
    <w:p>
      <w:pPr>
        <w:pStyle w:val="Atto"/>
        <w:spacing w:after="12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[Nome Cognome / denominazione]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[dati identificativi]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codice fiscale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[codice fiscale]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[e partita IVA]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[in persona del legale rappresentante pro tempore]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rappresentato/a e difeso/a dall'avv.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[Nome Cognome]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(codice fiscale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[codice fiscale]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), giusta procura alle liti in calce al presente atto </w:t>
      </w:r>
      <w:r>
        <w:rPr>
          <w:rFonts w:ascii="Times New Roman" w:cs="Times New Roman" w:eastAsia="Times New Roman" w:hAnsi="Times New Roman"/>
          <w:sz w:val="24"/>
          <w:szCs w:val="24"/>
          <w:shd w:fill="DCDCDC" w:color="auto" w:val="clear"/>
        </w:rPr>
        <w:t xml:space="preserve">[VARIANTE: già rilasciata in calce al ricorso per decreto ingiuntivo / all'atto di citazione, estesa alla fase esecutiva]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con domicilio eletto presso lo studio del difensore in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[indirizzo]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e domicilio digitale all'indirizzo PEC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[PEC del difensore]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;</w:t>
      </w:r>
    </w:p>
    <w:p>
      <w:pPr>
        <w:pStyle w:val="Atto"/>
        <w:spacing w:after="160" w:before="0" w:line="360"/>
        <w:jc w:val="right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— creditore istante —</w:t>
      </w:r>
    </w:p>
    <w:p>
      <w:pPr>
        <w:pStyle w:val="Atto"/>
        <w:keepNext/>
        <w:spacing w:after="120" w:before="240" w:line="360"/>
        <w:jc w:val="center"/>
      </w:pPr>
      <w:r>
        <w:rPr>
          <w:rFonts w:ascii="Times New Roman" w:cs="Times New Roman" w:eastAsia="Times New Roman" w:hAnsi="Times New Roman"/>
          <w:b/>
          <w:bCs/>
          <w:spacing w:val="20"/>
          <w:sz w:val="24"/>
          <w:szCs w:val="24"/>
        </w:rPr>
        <w:t xml:space="preserve">PREMESSO CHE</w:t>
      </w:r>
    </w:p>
    <w:tbl>
      <w:tblPr>
        <w:tblW w:type="dxa" w:w="9072"/>
        <w:tblBorders>
          <w:top w:val="single" w:color="BFBFBF" w:sz="4"/>
          <w:left w:val="single" w:color="7A817E" w:sz="18"/>
          <w:bottom w:val="single" w:color="BFBFBF" w:sz="4"/>
          <w:right w:val="single" w:color="BFBFBF" w:sz="4"/>
          <w:insideH w:val="none" w:color="FFFFFF" w:sz="0"/>
          <w:insideV w:val="none" w:color="FFFFFF" w:sz="0"/>
        </w:tblBorders>
        <w:tblLayout w:type="fixed"/>
      </w:tblPr>
      <w:tblGrid>
        <w:gridCol w:w="9072"/>
      </w:tblGrid>
      <w:tr>
        <w:trPr>
          <w:cantSplit w:val="false"/>
        </w:trPr>
        <w:tc>
          <w:tcPr>
            <w:tcW w:type="dxa" w:w="9072"/>
            <w:tcBorders>
              <w:top w:val="single" w:color="BFBFBF" w:sz="4"/>
              <w:left w:val="single" w:color="7A817E" w:sz="18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90"/>
              <w:left w:type="dxa" w:w="160"/>
              <w:bottom w:type="dxa" w:w="40"/>
              <w:right w:type="dxa" w:w="140"/>
            </w:tcMar>
          </w:tcPr>
          <w:p>
            <w:pPr>
              <w:pStyle w:val="DidascaliaVariante"/>
              <w:keepNext/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4F5654"/>
                <w:spacing w:val="24"/>
                <w:sz w:val="15"/>
                <w:szCs w:val="15"/>
              </w:rPr>
              <w:t xml:space="preserve">VARIANTE — scegliere e cancellare le altre</w:t>
            </w:r>
          </w:p>
          <w:p>
            <w:pPr>
              <w:pStyle w:val="AttoRiquadro"/>
              <w:spacing w:after="6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color w:val="4F5654"/>
                <w:sz w:val="18"/>
                <w:szCs w:val="18"/>
              </w:rPr>
              <w:t xml:space="preserve">[VARIANTE A — decreto ingiuntivo]</w:t>
            </w:r>
          </w:p>
          <w:p>
            <w:pPr>
              <w:pStyle w:val="AttoRiquadro"/>
              <w:spacing w:after="60" w:before="0" w:line="276"/>
              <w:ind w:left="340" w:hanging="227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–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ab/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con decreto ingiuntivo n.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[..]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/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[anno]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(R.G. n.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[..]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/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[anno]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), pronunciato il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[data]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dal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[Tribunale / Giudice di pace]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di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[città]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, è stato ingiunto a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[debitore]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di pagare all'istante la somma di €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[importo]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, oltre interessi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[indicare misura e decorrenza come nel decreto]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e spese della procedura liquidate in €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[compensi]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per compensi ed €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[esborsi]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per esborsi, oltre rimborso forfettario delle spese generali, contributo previdenziale e IVA come per legge;</w:t>
            </w:r>
          </w:p>
          <w:p>
            <w:pPr>
              <w:pStyle w:val="AttoRiquadro"/>
              <w:spacing w:after="60" w:before="0" w:line="276"/>
              <w:ind w:left="340" w:hanging="227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–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ab/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il decreto è stato </w:t>
            </w:r>
            <w:r>
              <w:rPr>
                <w:rFonts w:ascii="Times New Roman" w:cs="Times New Roman" w:eastAsia="Times New Roman" w:hAnsi="Times New Roman"/>
                <w:i/>
                <w:iCs/>
                <w:sz w:val="22"/>
                <w:szCs w:val="22"/>
                <w:highlight w:val="yellow"/>
                <w:highlightCs w:val="yellow"/>
              </w:rPr>
              <w:t xml:space="preserve">[dichiarato provvisoriamente esecutivo ai sensi dell'art. 642, (primo / secondo) comma, c.p.c. con lo stesso decreto]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[dichiarato esecutivo ai sensi dell'art. 647 c.p.c. con decreto del (data)]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i/>
                <w:iCs/>
                <w:sz w:val="22"/>
                <w:szCs w:val="22"/>
                <w:highlight w:val="yellow"/>
                <w:highlightCs w:val="yellow"/>
              </w:rPr>
              <w:t xml:space="preserve">[dichiarato provvisoriamente esecutivo ai sensi dell'art. 648 c.p.c. con ordinanza del (data) nel giudizio di opposizione R.G. n. (..)]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;</w:t>
            </w:r>
          </w:p>
          <w:p>
            <w:pPr>
              <w:pStyle w:val="AttoRiquadro"/>
              <w:spacing w:after="60" w:before="0" w:line="276"/>
              <w:ind w:left="340" w:hanging="227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–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ab/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il ricorso e il decreto, in copia attestata conforme all'originale, sono stati notificati al debitore personalmente il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[data]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;</w:t>
            </w:r>
          </w:p>
          <w:p>
            <w:pPr>
              <w:pStyle w:val="AttoRiquadro"/>
              <w:pBdr>
                <w:bottom w:val="dashed" w:color="A6A6A6" w:sz="4" w:space="1"/>
              </w:pBdr>
              <w:spacing w:after="70" w:before="20" w:line="40" w:lineRule="exact"/>
            </w:pPr>
          </w:p>
          <w:p>
            <w:pPr>
              <w:pStyle w:val="AttoRiquadro"/>
              <w:spacing w:after="6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color w:val="4F5654"/>
                <w:sz w:val="18"/>
                <w:szCs w:val="18"/>
              </w:rPr>
              <w:t xml:space="preserve">[VARIANTE B — sentenza]</w:t>
            </w:r>
          </w:p>
          <w:p>
            <w:pPr>
              <w:pStyle w:val="AttoRiquadro"/>
              <w:spacing w:after="60" w:before="0" w:line="276"/>
              <w:ind w:left="340" w:hanging="227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–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ab/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con sentenza n.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[..]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/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[anno]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, pubblicata il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[data]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(R.G. n.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[..]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/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[anno]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), il Tribunale di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[città]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ha condannato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[debitore]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al pagamento in favore dell'istante della somma di €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[importo]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, oltre interessi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[...]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e spese di lite liquidate in €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[...]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;</w:t>
            </w:r>
          </w:p>
          <w:p>
            <w:pPr>
              <w:pStyle w:val="AttoRiquadro"/>
              <w:spacing w:after="60" w:before="0" w:line="276"/>
              <w:ind w:left="340" w:hanging="227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–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ab/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la sentenza, in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[copia attestata conforme all'originale / duplicato informatico]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, è stata notificata al debitore personalmente il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[data]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;</w:t>
            </w:r>
          </w:p>
          <w:p>
            <w:pPr>
              <w:pStyle w:val="AttoRiquadro"/>
              <w:pBdr>
                <w:bottom w:val="dashed" w:color="A6A6A6" w:sz="4" w:space="1"/>
              </w:pBdr>
              <w:spacing w:after="70" w:before="20" w:line="40" w:lineRule="exact"/>
            </w:pPr>
          </w:p>
          <w:p>
            <w:pPr>
              <w:pStyle w:val="AttoRiquadro"/>
              <w:spacing w:after="6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color w:val="4F5654"/>
                <w:sz w:val="18"/>
                <w:szCs w:val="18"/>
              </w:rPr>
              <w:t xml:space="preserve">[VARIANTE C — atto notarile]</w:t>
            </w:r>
          </w:p>
          <w:p>
            <w:pPr>
              <w:pStyle w:val="AttoRiquadro"/>
              <w:spacing w:after="60" w:before="0" w:line="276"/>
              <w:ind w:left="340" w:hanging="227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–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ab/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con atto ricevuto dal notaio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[nome]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di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[città]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in data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[data]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, rep. n.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[..]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, racc. n.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[..]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[debitore]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si è obbligato a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[...]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;</w:t>
            </w:r>
          </w:p>
          <w:p>
            <w:pPr>
              <w:pStyle w:val="AttoRiquadro"/>
              <w:spacing w:after="60" w:before="0" w:line="276"/>
              <w:ind w:left="340" w:hanging="227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–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ab/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l'atto, in copia attestata conforme munita del sigillo del notaio, è stato notificato al debitore personalmente il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[data]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;</w:t>
            </w:r>
          </w:p>
          <w:p>
            <w:pPr>
              <w:pStyle w:val="AttoRiquadro"/>
              <w:pBdr>
                <w:bottom w:val="dashed" w:color="A6A6A6" w:sz="4" w:space="1"/>
              </w:pBdr>
              <w:spacing w:after="70" w:before="20" w:line="40" w:lineRule="exact"/>
            </w:pPr>
          </w:p>
          <w:p>
            <w:pPr>
              <w:pStyle w:val="AttoRiquadro"/>
              <w:spacing w:after="6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color w:val="4F5654"/>
                <w:sz w:val="18"/>
                <w:szCs w:val="18"/>
              </w:rPr>
              <w:t xml:space="preserve">[VARIANTE D — scrittura privata autenticata (art. 474, secondo comma, n. 2, c.p.c.)]</w:t>
            </w:r>
          </w:p>
          <w:p>
            <w:pPr>
              <w:pStyle w:val="AttoRiquadro"/>
              <w:spacing w:after="60" w:before="0" w:line="276"/>
              <w:ind w:left="340" w:hanging="227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–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ab/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con scrittura privata autenticata dal notaio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[nome]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in data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[data]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, rep. n.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[..]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[debitore]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si è obbligato a pagare all'istante la somma di €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[...]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; se ne trascrive integralmente il contenuto: «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[trascrizione integrale]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»;</w:t>
            </w:r>
          </w:p>
          <w:p>
            <w:pPr>
              <w:pStyle w:val="AttoRiquadro"/>
              <w:pBdr>
                <w:bottom w:val="dashed" w:color="A6A6A6" w:sz="4" w:space="1"/>
              </w:pBdr>
              <w:spacing w:after="70" w:before="20" w:line="40" w:lineRule="exact"/>
            </w:pPr>
          </w:p>
          <w:p>
            <w:pPr>
              <w:pStyle w:val="AttoRiquadro"/>
              <w:spacing w:after="6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color w:val="4F5654"/>
                <w:sz w:val="18"/>
                <w:szCs w:val="18"/>
              </w:rPr>
              <w:t xml:space="preserve">[VARIANTE E — cambiale]</w:t>
            </w:r>
          </w:p>
          <w:p>
            <w:pPr>
              <w:pStyle w:val="AttoRiquadro"/>
              <w:spacing w:after="60" w:before="0" w:line="276"/>
              <w:ind w:left="340" w:hanging="227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–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ab/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[debitore]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ha emesso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[o: ha girato / ha avallato]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cambiale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[pagherò / tratta]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di €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[importo]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, con scadenza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[data]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, non pagata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[e protestata il (data)]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;</w:t>
            </w:r>
          </w:p>
        </w:tc>
      </w:tr>
    </w:tbl>
    <w:p>
      <w:pPr>
        <w:spacing w:after="0" w:before="0" w:line="160"/>
      </w:pPr>
    </w:p>
    <w:p>
      <w:pPr>
        <w:pStyle w:val="Atto"/>
        <w:numPr>
          <w:ilvl w:val="0"/>
          <w:numId w:val="2"/>
        </w:numPr>
        <w:spacing w:after="120" w:before="0" w:line="360"/>
        <w:ind w:left="567" w:hanging="3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il debitore non ha adempiuto;</w:t>
      </w:r>
    </w:p>
    <w:p>
      <w:pPr>
        <w:pStyle w:val="Atto"/>
        <w:spacing w:after="12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tutto ciò premesso, l'istante, come sopra rappresentato e difeso,</w:t>
      </w:r>
    </w:p>
    <w:p>
      <w:pPr>
        <w:pStyle w:val="Atto"/>
        <w:keepNext/>
        <w:spacing w:after="120" w:before="240" w:line="360"/>
        <w:jc w:val="center"/>
      </w:pPr>
      <w:r>
        <w:rPr>
          <w:rFonts w:ascii="Times New Roman" w:cs="Times New Roman" w:eastAsia="Times New Roman" w:hAnsi="Times New Roman"/>
          <w:b/>
          <w:bCs/>
          <w:spacing w:val="20"/>
          <w:sz w:val="24"/>
          <w:szCs w:val="24"/>
        </w:rPr>
        <w:t xml:space="preserve">INTIMA</w:t>
      </w:r>
    </w:p>
    <w:p>
      <w:pPr>
        <w:pStyle w:val="Atto"/>
        <w:spacing w:after="12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[debitore]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[dati identificativi]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codice fiscale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[codice fiscale]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[residente in / con sede in]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[indirizzo]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</w:t>
      </w:r>
    </w:p>
    <w:p>
      <w:pPr>
        <w:pStyle w:val="Atto"/>
        <w:spacing w:after="12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di pagare all'istante, entro il termine di dieci giorni dalla notificazione del presente atto, le seguenti somme:</w:t>
      </w: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78"/>
        <w:gridCol w:w="2994"/>
      </w:tblGrid>
      <w:tr>
        <w:trPr>
          <w:cantSplit/>
        </w:trPr>
        <w:tc>
          <w:tcPr>
            <w:tcW w:type="dxa" w:w="60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pStyle w:val="Atto"/>
              <w:spacing w:after="0" w:before="0" w:line="3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a) capitale</w:t>
            </w:r>
          </w:p>
        </w:tc>
        <w:tc>
          <w:tcPr>
            <w:tcW w:type="dxa" w:w="29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pStyle w:val="Atto"/>
              <w:spacing w:after="0" w:before="0" w:line="300"/>
              <w:jc w:val="righ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€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  <w:highlightCs w:val="yellow"/>
              </w:rPr>
              <w:t xml:space="preserve">[importo]</w:t>
            </w:r>
          </w:p>
        </w:tc>
      </w:tr>
      <w:tr>
        <w:trPr>
          <w:cantSplit/>
        </w:trPr>
        <w:tc>
          <w:tcPr>
            <w:tcW w:type="dxa" w:w="60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pStyle w:val="Atto"/>
              <w:spacing w:after="0" w:before="0" w:line="3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b) interessi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  <w:highlightCs w:val="yellow"/>
              </w:rPr>
              <w:t xml:space="preserve">[moratori ex d.lgs. 231/2002 / legali]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dal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  <w:highlightCs w:val="yellow"/>
              </w:rPr>
              <w:t xml:space="preserve">[data]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al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  <w:highlightCs w:val="yellow"/>
              </w:rPr>
              <w:t xml:space="preserve">[data del precetto]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 come da prospetto allegato</w:t>
            </w:r>
          </w:p>
        </w:tc>
        <w:tc>
          <w:tcPr>
            <w:tcW w:type="dxa" w:w="29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pStyle w:val="Atto"/>
              <w:spacing w:after="0" w:before="0" w:line="300"/>
              <w:jc w:val="righ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€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  <w:highlightCs w:val="yellow"/>
              </w:rPr>
              <w:t xml:space="preserve">[importo]</w:t>
            </w:r>
          </w:p>
        </w:tc>
      </w:tr>
      <w:tr>
        <w:trPr>
          <w:cantSplit/>
        </w:trPr>
        <w:tc>
          <w:tcPr>
            <w:tcW w:type="dxa" w:w="60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pStyle w:val="Atto"/>
              <w:spacing w:after="0" w:before="0" w:line="3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c)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  <w:highlightCs w:val="yellow"/>
              </w:rPr>
              <w:t xml:space="preserve">[importo forfettario ex art. 6, comma 2, d.lgs. 231/2002]</w:t>
            </w:r>
          </w:p>
        </w:tc>
        <w:tc>
          <w:tcPr>
            <w:tcW w:type="dxa" w:w="29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pStyle w:val="Atto"/>
              <w:spacing w:after="0" w:before="0" w:line="300"/>
              <w:jc w:val="righ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€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  <w:highlightCs w:val="yellow"/>
              </w:rPr>
              <w:t xml:space="preserve">[40,00]</w:t>
            </w:r>
          </w:p>
        </w:tc>
      </w:tr>
      <w:tr>
        <w:trPr>
          <w:cantSplit/>
        </w:trPr>
        <w:tc>
          <w:tcPr>
            <w:tcW w:type="dxa" w:w="60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pStyle w:val="Atto"/>
              <w:spacing w:after="0" w:before="0" w:line="3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d) spese liquidate nel titolo: compensi</w:t>
            </w:r>
          </w:p>
        </w:tc>
        <w:tc>
          <w:tcPr>
            <w:tcW w:type="dxa" w:w="29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pStyle w:val="Atto"/>
              <w:spacing w:after="0" w:before="0" w:line="300"/>
              <w:jc w:val="righ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€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  <w:highlightCs w:val="yellow"/>
              </w:rPr>
              <w:t xml:space="preserve">[importo]</w:t>
            </w:r>
          </w:p>
        </w:tc>
      </w:tr>
      <w:tr>
        <w:trPr>
          <w:cantSplit/>
        </w:trPr>
        <w:tc>
          <w:tcPr>
            <w:tcW w:type="dxa" w:w="60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pStyle w:val="Atto"/>
              <w:spacing w:after="0" w:before="0" w:line="300"/>
              <w:ind w:left="283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rimborso forfettario spese generali 15%</w:t>
            </w:r>
          </w:p>
        </w:tc>
        <w:tc>
          <w:tcPr>
            <w:tcW w:type="dxa" w:w="29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pStyle w:val="Atto"/>
              <w:spacing w:after="0" w:before="0" w:line="300"/>
              <w:jc w:val="righ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€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  <w:highlightCs w:val="yellow"/>
              </w:rPr>
              <w:t xml:space="preserve">[importo]</w:t>
            </w:r>
          </w:p>
        </w:tc>
      </w:tr>
      <w:tr>
        <w:trPr>
          <w:cantSplit/>
        </w:trPr>
        <w:tc>
          <w:tcPr>
            <w:tcW w:type="dxa" w:w="60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pStyle w:val="Atto"/>
              <w:spacing w:after="0" w:before="0" w:line="300"/>
              <w:ind w:left="283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contributo previdenziale 4%</w:t>
            </w:r>
          </w:p>
        </w:tc>
        <w:tc>
          <w:tcPr>
            <w:tcW w:type="dxa" w:w="29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pStyle w:val="Atto"/>
              <w:spacing w:after="0" w:before="0" w:line="300"/>
              <w:jc w:val="righ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€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  <w:highlightCs w:val="yellow"/>
              </w:rPr>
              <w:t xml:space="preserve">[importo]</w:t>
            </w:r>
          </w:p>
        </w:tc>
      </w:tr>
      <w:tr>
        <w:trPr>
          <w:cantSplit/>
        </w:trPr>
        <w:tc>
          <w:tcPr>
            <w:tcW w:type="dxa" w:w="60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pStyle w:val="Atto"/>
              <w:spacing w:after="0" w:before="0" w:line="300"/>
              <w:ind w:left="283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IVA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  <w:highlightCs w:val="yellow"/>
              </w:rPr>
              <w:t xml:space="preserve">[se dovuta]</w:t>
            </w:r>
          </w:p>
        </w:tc>
        <w:tc>
          <w:tcPr>
            <w:tcW w:type="dxa" w:w="29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pStyle w:val="Atto"/>
              <w:spacing w:after="0" w:before="0" w:line="300"/>
              <w:jc w:val="righ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€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  <w:highlightCs w:val="yellow"/>
              </w:rPr>
              <w:t xml:space="preserve">[importo]</w:t>
            </w:r>
          </w:p>
        </w:tc>
      </w:tr>
      <w:tr>
        <w:trPr>
          <w:cantSplit/>
        </w:trPr>
        <w:tc>
          <w:tcPr>
            <w:tcW w:type="dxa" w:w="60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pStyle w:val="Atto"/>
              <w:spacing w:after="0" w:before="0" w:line="300"/>
              <w:ind w:left="283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esborsi</w:t>
            </w:r>
          </w:p>
        </w:tc>
        <w:tc>
          <w:tcPr>
            <w:tcW w:type="dxa" w:w="29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pStyle w:val="Atto"/>
              <w:spacing w:after="0" w:before="0" w:line="300"/>
              <w:jc w:val="righ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€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  <w:highlightCs w:val="yellow"/>
              </w:rPr>
              <w:t xml:space="preserve">[importo]</w:t>
            </w:r>
          </w:p>
        </w:tc>
      </w:tr>
      <w:tr>
        <w:trPr>
          <w:cantSplit/>
        </w:trPr>
        <w:tc>
          <w:tcPr>
            <w:tcW w:type="dxa" w:w="60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pStyle w:val="Atto"/>
              <w:spacing w:after="0" w:before="0" w:line="3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e) compenso per il presente atto</w:t>
            </w:r>
          </w:p>
        </w:tc>
        <w:tc>
          <w:tcPr>
            <w:tcW w:type="dxa" w:w="29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pStyle w:val="Atto"/>
              <w:spacing w:after="0" w:before="0" w:line="300"/>
              <w:jc w:val="righ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€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  <w:highlightCs w:val="yellow"/>
              </w:rPr>
              <w:t xml:space="preserve">[importo]</w:t>
            </w:r>
          </w:p>
        </w:tc>
      </w:tr>
      <w:tr>
        <w:trPr>
          <w:cantSplit/>
        </w:trPr>
        <w:tc>
          <w:tcPr>
            <w:tcW w:type="dxa" w:w="60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pStyle w:val="Atto"/>
              <w:spacing w:after="0" w:before="0" w:line="300"/>
              <w:ind w:left="283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rimborso forfettario spese generali 15%</w:t>
            </w:r>
          </w:p>
        </w:tc>
        <w:tc>
          <w:tcPr>
            <w:tcW w:type="dxa" w:w="29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pStyle w:val="Atto"/>
              <w:spacing w:after="0" w:before="0" w:line="300"/>
              <w:jc w:val="righ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€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  <w:highlightCs w:val="yellow"/>
              </w:rPr>
              <w:t xml:space="preserve">[importo]</w:t>
            </w:r>
          </w:p>
        </w:tc>
      </w:tr>
      <w:tr>
        <w:trPr>
          <w:cantSplit/>
        </w:trPr>
        <w:tc>
          <w:tcPr>
            <w:tcW w:type="dxa" w:w="60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pStyle w:val="Atto"/>
              <w:spacing w:after="0" w:before="0" w:line="300"/>
              <w:ind w:left="283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contributo previdenziale 4%</w:t>
            </w:r>
          </w:p>
        </w:tc>
        <w:tc>
          <w:tcPr>
            <w:tcW w:type="dxa" w:w="29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pStyle w:val="Atto"/>
              <w:spacing w:after="0" w:before="0" w:line="300"/>
              <w:jc w:val="righ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€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  <w:highlightCs w:val="yellow"/>
              </w:rPr>
              <w:t xml:space="preserve">[importo]</w:t>
            </w:r>
          </w:p>
        </w:tc>
      </w:tr>
      <w:tr>
        <w:trPr>
          <w:cantSplit/>
        </w:trPr>
        <w:tc>
          <w:tcPr>
            <w:tcW w:type="dxa" w:w="60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pStyle w:val="Atto"/>
              <w:spacing w:after="0" w:before="0" w:line="300"/>
              <w:ind w:left="283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IVA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  <w:highlightCs w:val="yellow"/>
              </w:rPr>
              <w:t xml:space="preserve">[se dovuta]</w:t>
            </w:r>
          </w:p>
        </w:tc>
        <w:tc>
          <w:tcPr>
            <w:tcW w:type="dxa" w:w="29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pStyle w:val="Atto"/>
              <w:spacing w:after="0" w:before="0" w:line="300"/>
              <w:jc w:val="righ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€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  <w:highlightCs w:val="yellow"/>
              </w:rPr>
              <w:t xml:space="preserve">[importo]</w:t>
            </w:r>
          </w:p>
        </w:tc>
      </w:tr>
      <w:tr>
        <w:trPr>
          <w:cantSplit/>
        </w:trPr>
        <w:tc>
          <w:tcPr>
            <w:tcW w:type="dxa" w:w="60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pStyle w:val="Atto"/>
              <w:spacing w:after="0" w:before="0" w:line="3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f) spese di notificazione del presente atto</w:t>
            </w:r>
          </w:p>
        </w:tc>
        <w:tc>
          <w:tcPr>
            <w:tcW w:type="dxa" w:w="29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pStyle w:val="Atto"/>
              <w:spacing w:after="0" w:before="0" w:line="300"/>
              <w:jc w:val="righ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€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  <w:highlightCs w:val="yellow"/>
              </w:rPr>
              <w:t xml:space="preserve">[importo, come liquidate dall'ufficiale giudiziario]</w:t>
            </w:r>
          </w:p>
        </w:tc>
      </w:tr>
      <w:tr>
        <w:trPr>
          <w:cantSplit/>
        </w:trPr>
        <w:tc>
          <w:tcPr>
            <w:tcW w:type="dxa" w:w="60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pStyle w:val="Atto"/>
              <w:spacing w:after="0" w:before="0" w:line="300"/>
              <w:jc w:val="righ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TOTALE</w:t>
            </w:r>
          </w:p>
        </w:tc>
        <w:tc>
          <w:tcPr>
            <w:tcW w:type="dxa" w:w="29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pStyle w:val="Atto"/>
              <w:spacing w:after="0" w:before="0" w:line="300"/>
              <w:jc w:val="righ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€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  <w:highlightCs w:val="yellow"/>
              </w:rPr>
              <w:t xml:space="preserve">[importo]</w:t>
            </w:r>
          </w:p>
        </w:tc>
      </w:tr>
    </w:tbl>
    <w:p>
      <w:pPr>
        <w:spacing w:after="0" w:before="0" w:line="160"/>
      </w:pPr>
    </w:p>
    <w:p>
      <w:pPr>
        <w:pStyle w:val="Atto"/>
        <w:spacing w:after="12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oltre agli interessi successivi dal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[giorno successivo]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al saldo e alle spese successive occorrende,</w:t>
      </w:r>
    </w:p>
    <w:p>
      <w:pPr>
        <w:pStyle w:val="Atto"/>
        <w:spacing w:after="12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con l'avvertimento che, in mancanza, si procederà a esecuzione forzata.</w:t>
      </w:r>
    </w:p>
    <w:tbl>
      <w:tblPr>
        <w:tblW w:type="dxa" w:w="9072"/>
        <w:tblBorders>
          <w:top w:val="single" w:color="BFBFBF" w:sz="4"/>
          <w:left w:val="single" w:color="7A817E" w:sz="18"/>
          <w:bottom w:val="single" w:color="BFBFBF" w:sz="4"/>
          <w:right w:val="single" w:color="BFBFBF" w:sz="4"/>
          <w:insideH w:val="none" w:color="FFFFFF" w:sz="0"/>
          <w:insideV w:val="none" w:color="FFFFFF" w:sz="0"/>
        </w:tblBorders>
        <w:tblLayout w:type="fixed"/>
      </w:tblPr>
      <w:tblGrid>
        <w:gridCol w:w="9072"/>
      </w:tblGrid>
      <w:tr>
        <w:trPr>
          <w:cantSplit w:val="false"/>
        </w:trPr>
        <w:tc>
          <w:tcPr>
            <w:tcW w:type="dxa" w:w="9072"/>
            <w:tcBorders>
              <w:top w:val="single" w:color="BFBFBF" w:sz="4"/>
              <w:left w:val="single" w:color="7A817E" w:sz="18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90"/>
              <w:left w:type="dxa" w:w="160"/>
              <w:bottom w:type="dxa" w:w="40"/>
              <w:right w:type="dxa" w:w="140"/>
            </w:tcMar>
          </w:tcPr>
          <w:p>
            <w:pPr>
              <w:pStyle w:val="DidascaliaVariante"/>
              <w:keepNext/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4F5654"/>
                <w:spacing w:val="24"/>
                <w:sz w:val="15"/>
                <w:szCs w:val="15"/>
              </w:rPr>
              <w:t xml:space="preserve">EVENTUALE — mantenere o cancellare</w:t>
            </w:r>
          </w:p>
          <w:p>
            <w:pPr>
              <w:pStyle w:val="AttoRiquadro"/>
              <w:spacing w:after="6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color w:val="4F5654"/>
                <w:sz w:val="18"/>
                <w:szCs w:val="18"/>
              </w:rPr>
              <w:t xml:space="preserve">[EVENTUALE — art. 482 c.p.c.]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Con decreto del Presidente del Tribunale di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[città]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del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[data]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, scritto in calce al presente precetto, l'istante è stato autorizzato all'esecuzione immediata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[con / senza]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cauzione; il decreto è trascritto dall'ufficiale giudiziario nella copia notificata.</w:t>
            </w:r>
          </w:p>
        </w:tc>
      </w:tr>
    </w:tbl>
    <w:p>
      <w:pPr>
        <w:spacing w:after="0" w:before="0" w:line="160"/>
      </w:pPr>
    </w:p>
    <w:p>
      <w:pPr>
        <w:pStyle w:val="Atto"/>
        <w:keepNext/>
        <w:spacing w:after="120" w:before="240" w:line="360"/>
        <w:jc w:val="center"/>
      </w:pPr>
      <w:r>
        <w:rPr>
          <w:rFonts w:ascii="Times New Roman" w:cs="Times New Roman" w:eastAsia="Times New Roman" w:hAnsi="Times New Roman"/>
          <w:b/>
          <w:bCs/>
          <w:spacing w:val="20"/>
          <w:sz w:val="24"/>
          <w:szCs w:val="24"/>
        </w:rPr>
        <w:t xml:space="preserve">AVVERTE</w:t>
      </w:r>
    </w:p>
    <w:p>
      <w:pPr>
        <w:pStyle w:val="Atto"/>
        <w:spacing w:after="12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il debitore che può, con l'ausilio di un organismo di composizione della crisi o di un professionista nominato dal giudice, porre rimedio alla situazione di sovraindebitamento concludendo con i creditori un accordo di composizione della crisi o proponendo agli stessi un piano del consumatore.</w:t>
      </w:r>
    </w:p>
    <w:p>
      <w:pPr>
        <w:pStyle w:val="Atto"/>
        <w:keepNext/>
        <w:spacing w:after="120" w:before="240" w:line="360"/>
        <w:jc w:val="center"/>
      </w:pPr>
      <w:r>
        <w:rPr>
          <w:rFonts w:ascii="Times New Roman" w:cs="Times New Roman" w:eastAsia="Times New Roman" w:hAnsi="Times New Roman"/>
          <w:b/>
          <w:bCs/>
          <w:spacing w:val="20"/>
          <w:sz w:val="24"/>
          <w:szCs w:val="24"/>
        </w:rPr>
        <w:t xml:space="preserve">INDICA</w:t>
      </w:r>
    </w:p>
    <w:p>
      <w:pPr>
        <w:pStyle w:val="Atto"/>
        <w:spacing w:after="12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quale giudice competente per l'esecuzione il Tribunale di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[città]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shd w:fill="DCDCDC" w:color="auto" w:val="clear"/>
        </w:rPr>
        <w:t xml:space="preserve">[VARIANTE espropriazione presso terzi: giudice del luogo in cui il debitore ha la residenza, il domicilio, la dimora o la sede (art. 26-bis, secondo comma, c.p.c.) / VARIANTE espropriazione mobiliare presso il debitore: giudice del luogo in cui le cose si trovano (art. 26, primo comma, c.p.c.) / VARIANTE autoveicoli: giudice del luogo di residenza, domicilio, dimora o sede del debitore (art. 26, secondo comma, c.p.c.) / VARIANTE immobili: giudice del luogo in cui si trovano (art. 26, primo comma, c.p.c.)]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tbl>
      <w:tblPr>
        <w:tblW w:type="dxa" w:w="9072"/>
        <w:tblBorders>
          <w:top w:val="single" w:color="BFBFBF" w:sz="4"/>
          <w:left w:val="single" w:color="7A817E" w:sz="18"/>
          <w:bottom w:val="single" w:color="BFBFBF" w:sz="4"/>
          <w:right w:val="single" w:color="BFBFBF" w:sz="4"/>
          <w:insideH w:val="none" w:color="FFFFFF" w:sz="0"/>
          <w:insideV w:val="none" w:color="FFFFFF" w:sz="0"/>
        </w:tblBorders>
        <w:tblLayout w:type="fixed"/>
      </w:tblPr>
      <w:tblGrid>
        <w:gridCol w:w="9072"/>
      </w:tblGrid>
      <w:tr>
        <w:trPr>
          <w:cantSplit w:val="false"/>
        </w:trPr>
        <w:tc>
          <w:tcPr>
            <w:tcW w:type="dxa" w:w="9072"/>
            <w:tcBorders>
              <w:top w:val="single" w:color="BFBFBF" w:sz="4"/>
              <w:left w:val="single" w:color="7A817E" w:sz="18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90"/>
              <w:left w:type="dxa" w:w="160"/>
              <w:bottom w:type="dxa" w:w="40"/>
              <w:right w:type="dxa" w:w="140"/>
            </w:tcMar>
          </w:tcPr>
          <w:p>
            <w:pPr>
              <w:pStyle w:val="DidascaliaVariante"/>
              <w:keepNext/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4F5654"/>
                <w:spacing w:val="24"/>
                <w:sz w:val="15"/>
                <w:szCs w:val="15"/>
              </w:rPr>
              <w:t xml:space="preserve">VARIANTE — mantenere o cancellare</w:t>
            </w:r>
          </w:p>
          <w:p>
            <w:pPr>
              <w:pStyle w:val="AttoRiquadro"/>
              <w:spacing w:after="6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color w:val="4F5654"/>
                <w:sz w:val="18"/>
                <w:szCs w:val="18"/>
              </w:rPr>
              <w:t xml:space="preserve">[VARIANTE — precetto sottoscritto dalla parte personalmente]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L'istante dichiara la propria residenza in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[comune sede del giudice dell'esecuzione]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i/>
                <w:iCs/>
                <w:sz w:val="22"/>
                <w:szCs w:val="22"/>
                <w:highlight w:val="yellow"/>
                <w:highlightCs w:val="yellow"/>
              </w:rPr>
              <w:t xml:space="preserve">[oppure: elegge domicilio in ... / indica l'indirizzo PEC risultante da pubblici elenchi ... / elegge domicilio digitale speciale ...]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(art. 480, terzo comma, c.p.c.).</w:t>
            </w:r>
          </w:p>
        </w:tc>
      </w:tr>
    </w:tbl>
    <w:p>
      <w:pPr>
        <w:spacing w:after="0" w:before="0" w:line="160"/>
      </w:pPr>
    </w:p>
    <w:p>
      <w:pPr>
        <w:pStyle w:val="Atto"/>
        <w:spacing w:after="12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[Luogo]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[data]</w:t>
      </w:r>
    </w:p>
    <w:p>
      <w:pPr>
        <w:pStyle w:val="Atto"/>
        <w:spacing w:after="12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Avv.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[Nome Cognome]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(firmato digitalmente)</w:t>
      </w:r>
    </w:p>
    <w:p>
      <w:pPr>
        <w:pStyle w:val="Atto"/>
        <w:keepNext/>
        <w:spacing w:after="120" w:before="240" w:line="360"/>
        <w:jc w:val="center"/>
      </w:pPr>
      <w:r>
        <w:rPr>
          <w:rFonts w:ascii="Times New Roman" w:cs="Times New Roman" w:eastAsia="Times New Roman" w:hAnsi="Times New Roman"/>
          <w:b/>
          <w:bCs/>
          <w:spacing w:val="20"/>
          <w:sz w:val="24"/>
          <w:szCs w:val="24"/>
        </w:rPr>
        <w:t xml:space="preserve">PROCURA </w:t>
      </w:r>
      <w:r>
        <w:rPr>
          <w:rFonts w:ascii="Times New Roman" w:cs="Times New Roman" w:eastAsia="Times New Roman" w:hAnsi="Times New Roman"/>
          <w:b/>
          <w:bCs/>
          <w:i/>
          <w:iCs/>
          <w:spacing w:val="20"/>
          <w:sz w:val="24"/>
          <w:szCs w:val="24"/>
          <w:highlight w:val="yellow"/>
          <w:highlightCs w:val="yellow"/>
        </w:rPr>
        <w:t xml:space="preserve">[se non già rilasciata con estensione alla fase esecutiva: in calce al precetto, art. 83, terzo comma, c.p.c.]</w:t>
      </w:r>
    </w:p>
    <w:p>
      <w:pPr>
        <w:pStyle w:val="Atto"/>
        <w:keepNext/>
        <w:spacing w:after="120" w:before="240" w:line="360"/>
        <w:jc w:val="center"/>
      </w:pPr>
      <w:r>
        <w:rPr>
          <w:rFonts w:ascii="Times New Roman" w:cs="Times New Roman" w:eastAsia="Times New Roman" w:hAnsi="Times New Roman"/>
          <w:b/>
          <w:bCs/>
          <w:spacing w:val="20"/>
          <w:sz w:val="24"/>
          <w:szCs w:val="24"/>
        </w:rPr>
        <w:t xml:space="preserve">ALLEGATO — PROSPETTO DI CALCOLO DEGLI INTERESSI</w:t>
      </w:r>
    </w:p>
    <w:p>
      <w:pPr>
        <w:pStyle w:val="Atto"/>
        <w:spacing w:after="12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periodo dal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[..]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al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[..]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: capitale €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[..]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× tasso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[..]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% × giorni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[..]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/ 365 = €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[..]</w:t>
      </w:r>
    </w:p>
    <w:p>
      <w:pPr>
        <w:pStyle w:val="Atto"/>
        <w:spacing w:after="12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periodo dal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[..]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al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[..]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: capitale €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[..]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× tasso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[..]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% × giorni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[..]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/ 365 = €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[..]</w:t>
      </w:r>
    </w:p>
    <w:p>
      <w:pPr>
        <w:pStyle w:val="Atto"/>
        <w:spacing w:after="12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fonti dei tassi: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[art. 1284 c.c. e d.m. del (data) / comunicati MEF in G.U. n. (..) del (..)]</w:t>
      </w:r>
    </w:p>
    <w:p>
      <w:pPr>
        <w:pStyle w:val="Atto"/>
        <w:keepNext/>
        <w:spacing w:after="120" w:before="240" w:line="360"/>
        <w:jc w:val="center"/>
      </w:pPr>
      <w:r>
        <w:rPr>
          <w:rFonts w:ascii="Times New Roman" w:cs="Times New Roman" w:eastAsia="Times New Roman" w:hAnsi="Times New Roman"/>
          <w:b/>
          <w:bCs/>
          <w:spacing w:val="20"/>
          <w:sz w:val="24"/>
          <w:szCs w:val="24"/>
        </w:rPr>
        <w:t xml:space="preserve">RELATA DI NOTIFICA </w:t>
      </w:r>
      <w:r>
        <w:rPr>
          <w:rFonts w:ascii="Times New Roman" w:cs="Times New Roman" w:eastAsia="Times New Roman" w:hAnsi="Times New Roman"/>
          <w:b/>
          <w:bCs/>
          <w:i/>
          <w:iCs/>
          <w:spacing w:val="20"/>
          <w:sz w:val="24"/>
          <w:szCs w:val="24"/>
          <w:highlight w:val="yellow"/>
          <w:highlightCs w:val="yellow"/>
        </w:rPr>
        <w:t xml:space="preserve">[alla parte personalmente: PEC ex art. 3-bis l. 53/1994 all'indirizzo risultante da pubblici elenchi / ufficiale giudiziario]</w:t>
      </w:r>
    </w:p>
    <w:tbl>
      <w:tblPr>
        <w:tblW w:type="dxa" w:w="9072"/>
        <w:tblBorders>
          <w:top w:val="single" w:color="BFBFBF" w:sz="4"/>
          <w:left w:val="single" w:color="7A817E" w:sz="18"/>
          <w:bottom w:val="single" w:color="BFBFBF" w:sz="4"/>
          <w:right w:val="single" w:color="BFBFBF" w:sz="4"/>
          <w:insideH w:val="none" w:color="FFFFFF" w:sz="0"/>
          <w:insideV w:val="none" w:color="FFFFFF" w:sz="0"/>
        </w:tblBorders>
        <w:tblLayout w:type="fixed"/>
      </w:tblPr>
      <w:tblGrid>
        <w:gridCol w:w="9072"/>
      </w:tblGrid>
      <w:tr>
        <w:trPr>
          <w:cantSplit w:val="false"/>
        </w:trPr>
        <w:tc>
          <w:tcPr>
            <w:tcW w:type="dxa" w:w="9072"/>
            <w:tcBorders>
              <w:top w:val="single" w:color="BFBFBF" w:sz="4"/>
              <w:left w:val="single" w:color="7A817E" w:sz="18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90"/>
              <w:left w:type="dxa" w:w="160"/>
              <w:bottom w:type="dxa" w:w="40"/>
              <w:right w:type="dxa" w:w="140"/>
            </w:tcMar>
          </w:tcPr>
          <w:p>
            <w:pPr>
              <w:pStyle w:val="DidascaliaVariante"/>
              <w:keepNext/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4F5654"/>
                <w:spacing w:val="24"/>
                <w:sz w:val="15"/>
                <w:szCs w:val="15"/>
              </w:rPr>
              <w:t xml:space="preserve">VARIANTE — mantenere o cancellare</w:t>
            </w:r>
          </w:p>
          <w:p>
            <w:pPr>
              <w:pStyle w:val="AttoRiquadro"/>
              <w:spacing w:after="6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color w:val="4F5654"/>
                <w:sz w:val="18"/>
                <w:szCs w:val="18"/>
              </w:rPr>
              <w:t xml:space="preserve">[VARIANTE D: certificazione dell'ufficiale giudiziario, prima della relazione di notificazione, di avere riscontrato che la trascrizione corrisponde esattamente al titolo originale (art. 480, secondo comma, c.p.c.)]</w:t>
            </w:r>
          </w:p>
        </w:tc>
      </w:tr>
    </w:tbl>
    <w:p>
      <w:pPr>
        <w:spacing w:after="0" w:before="0" w:line="160"/>
      </w:pPr>
    </w:p>
    <w:p>
      <w:pPr>
        <w:sectPr>
          <w:footerReference w:type="default" r:id="rId7"/>
          <w:type w:val="nextPage"/>
          <w:pgSz w:w="11906" w:h="16838" w:orient="portrait"/>
          <w:pgMar w:top="1417" w:right="1417" w:bottom="1417" w:left="1417" w:header="680" w:footer="680" w:gutter="0"/>
          <w:pgNumType/>
          <w:docGrid w:linePitch="360"/>
        </w:sectPr>
      </w:pPr>
    </w:p>
    <w:p>
      <w:pPr>
        <w:pStyle w:val="Heading1"/>
        <w:pBdr>
          <w:top w:val="single" w:color="2F5546" w:sz="18" w:space="10"/>
        </w:pBdr>
      </w:pPr>
      <w:bookmarkStart w:name="istruzioni" w:id="2"/>
      <w:r>
        <w:rPr>
          <w:rFonts w:ascii="Georgia" w:cs="Georgia" w:eastAsia="Georgia" w:hAnsi="Georgia"/>
          <w:b/>
          <w:bCs/>
          <w:color w:val="2F5546"/>
          <w:sz w:val="48"/>
          <w:szCs w:val="48"/>
        </w:rPr>
        <w:t xml:space="preserve">Istruzioni per la compilazione</w:t>
      </w:r>
      <w:bookmarkEnd w:id="2"/>
    </w:p>
    <w:p>
      <w:pPr>
        <w:pStyle w:val="Subtitle"/>
      </w:pPr>
      <w:r>
        <w:rPr>
          <w:rFonts w:ascii="Calibri" w:cs="Calibri" w:eastAsia="Calibri" w:hAnsi="Calibri"/>
          <w:color w:val="16191A"/>
          <w:sz w:val="32"/>
          <w:szCs w:val="32"/>
        </w:rPr>
        <w:t xml:space="preserve">Atto di precetto</w:t>
      </w:r>
    </w:p>
    <w:p>
      <w:pPr>
        <w:pStyle w:val="Corpo"/>
        <w:spacing w:after="140" w:line="264"/>
        <w:jc w:val="left"/>
      </w:pPr>
      <w:r>
        <w:rPr>
          <w:rFonts w:ascii="Calibri" w:cs="Calibri" w:eastAsia="Calibri" w:hAnsi="Calibri"/>
          <w:i/>
          <w:iCs/>
          <w:color w:val="4F5654"/>
          <w:sz w:val="20"/>
          <w:szCs w:val="20"/>
        </w:rPr>
        <w:t xml:space="preserve">Artt. 474, 475, 477, 478, 479, 480, 481 e 482 c.p.c., nel testo dato dal d.lgs. 149/2022 (abolizione della formula esecutiva) e dal correttivo d.lgs. 164/2024 (giudice competente per l'esecuzione, duplicato informatico). Con il calcolo delle somme, degli interessi e delle spese.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 w:val="false"/>
        </w:trPr>
        <w:tc>
          <w:tcPr>
            <w:tcW w:type="dxa" w:w="9638"/>
            <w:tcBorders>
              <w:top w:val="none" w:color="FFFFFF" w:sz="0"/>
              <w:left w:val="single" w:color="2F6A4A" w:sz="24"/>
              <w:bottom w:val="none" w:color="FFFFFF" w:sz="0"/>
              <w:right w:val="none" w:color="FFFFFF" w:sz="0"/>
            </w:tcBorders>
            <w:shd w:fill="E3EBE6" w:color="auto" w:val="clear"/>
            <w:tcMar>
              <w:top w:type="dxa" w:w="120"/>
              <w:left w:type="dxa" w:w="220"/>
              <w:bottom w:type="dxa" w:w="70"/>
              <w:right w:type="dxa" w:w="200"/>
            </w:tcMar>
          </w:tcPr>
          <w:p>
            <w:pPr>
              <w:pStyle w:val="Corpo"/>
              <w:spacing w:after="60" w:line="264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Formulario di Chiostro.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Il modello è una base di lavoro: va adattato al caso, riletto e sottoscritto dal difensore, che ne resta l'unico autore. Le norme sono state lette nel testo vigente il 18/10/2026; prima di usarlo per un atto, controlla che nel frattempo non siano cambiate.</w:t>
            </w:r>
          </w:p>
        </w:tc>
      </w:tr>
    </w:tbl>
    <w:p>
      <w:pPr>
        <w:spacing w:after="0" w:before="0" w:line="120"/>
      </w:pPr>
    </w:p>
    <w:p>
      <w:pPr>
        <w:pStyle w:val="Heading2"/>
      </w:pPr>
      <w:r>
        <w:rPr>
          <w:rFonts w:ascii="Georgia" w:cs="Georgia" w:eastAsia="Georgia" w:hAnsi="Georgia"/>
          <w:b/>
          <w:bCs/>
        </w:rPr>
        <w:t xml:space="preserve">In breve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 w:val="false"/>
        </w:trPr>
        <w:tc>
          <w:tcPr>
            <w:tcW w:type="dxa" w:w="9638"/>
            <w:tcBorders>
              <w:top w:val="none" w:color="FFFFFF" w:sz="0"/>
              <w:left w:val="single" w:color="2F5546" w:sz="24"/>
              <w:bottom w:val="none" w:color="FFFFFF" w:sz="0"/>
              <w:right w:val="none" w:color="FFFFFF" w:sz="0"/>
            </w:tcBorders>
            <w:shd w:fill="F5F4F0" w:color="auto" w:val="clear"/>
            <w:tcMar>
              <w:top w:type="dxa" w:w="120"/>
              <w:left w:type="dxa" w:w="220"/>
              <w:bottom w:type="dxa" w:w="70"/>
              <w:right w:type="dxa" w:w="200"/>
            </w:tcMar>
          </w:tcPr>
          <w:p>
            <w:pPr>
              <w:pStyle w:val="Corpo"/>
              <w:numPr>
                <w:ilvl w:val="0"/>
                <w:numId w:val="3"/>
              </w:numPr>
              <w:spacing w:after="60" w:line="264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Non esiste più la formula esecutiva.</w:t>
            </w:r>
            <w:r>
              <w:rPr>
                <w:rFonts w:ascii="Calibri" w:cs="Calibri" w:eastAsia="Calibri" w:hAnsi="Calibri"/>
                <w:sz w:val="21"/>
                <w:szCs w:val="21"/>
              </w:rPr>
              <w:t xml:space="preserve"> Sentenze, provvedimenti e atti notarili, per valere come titolo esecutivo, «devono essere rilasciati in copia attestata conforme all'originale o in duplicato informatico, salvo che la legge disponga altrimenti» (art. 475). L'art. 476 è abrogato. Un precetto che parla di «titolo munito di formula esecutiva» è scritto con il codice di prima del 2023.</w:t>
            </w:r>
          </w:p>
          <w:p>
            <w:pPr>
              <w:pStyle w:val="Corpo"/>
              <w:numPr>
                <w:ilvl w:val="0"/>
                <w:numId w:val="3"/>
              </w:numPr>
              <w:spacing w:after="60" w:line="264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Tre avvertimenti obbligatori</w:t>
            </w:r>
            <w:r>
              <w:rPr>
                <w:rFonts w:ascii="Calibri" w:cs="Calibri" w:eastAsia="Calibri" w:hAnsi="Calibri"/>
                <w:sz w:val="21"/>
                <w:szCs w:val="21"/>
              </w:rPr>
              <w:t xml:space="preserve">: l'intimazione ad adempiere entro un termine </w:t>
            </w: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non minore di dieci giorni</w:t>
            </w:r>
            <w:r>
              <w:rPr>
                <w:rFonts w:ascii="Calibri" w:cs="Calibri" w:eastAsia="Calibri" w:hAnsi="Calibri"/>
                <w:sz w:val="21"/>
                <w:szCs w:val="21"/>
              </w:rPr>
              <w:t xml:space="preserve"> con l'avvertimento che, in mancanza, si procederà a esecuzione forzata (art. 480, co. 1); l'avvertimento sulla </w:t>
            </w: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composizione della crisi da sovraindebitamento</w:t>
            </w:r>
            <w:r>
              <w:rPr>
                <w:rFonts w:ascii="Calibri" w:cs="Calibri" w:eastAsia="Calibri" w:hAnsi="Calibri"/>
                <w:sz w:val="21"/>
                <w:szCs w:val="21"/>
              </w:rPr>
              <w:t xml:space="preserve">, con le parole del codice (co. 2); l'</w:t>
            </w: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indicazione del giudice competente per l'esecuzione</w:t>
            </w:r>
            <w:r>
              <w:rPr>
                <w:rFonts w:ascii="Calibri" w:cs="Calibri" w:eastAsia="Calibri" w:hAnsi="Calibri"/>
                <w:sz w:val="21"/>
                <w:szCs w:val="21"/>
              </w:rPr>
              <w:t xml:space="preserve"> (co. 3, correttivo 2024).</w:t>
            </w:r>
          </w:p>
          <w:p>
            <w:pPr>
              <w:pStyle w:val="Corpo"/>
              <w:numPr>
                <w:ilvl w:val="0"/>
                <w:numId w:val="3"/>
              </w:numPr>
              <w:spacing w:after="60" w:line="264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A pena di nullità</w:t>
            </w:r>
            <w:r>
              <w:rPr>
                <w:rFonts w:ascii="Calibri" w:cs="Calibri" w:eastAsia="Calibri" w:hAnsi="Calibri"/>
                <w:sz w:val="21"/>
                <w:szCs w:val="21"/>
              </w:rPr>
              <w:t xml:space="preserve">: indicazione delle parti, della data di notificazione del titolo se fatta separatamente, oppure trascrizione integrale del titolo quando la legge la richiede (art. 480, co. 2).</w:t>
            </w:r>
          </w:p>
          <w:p>
            <w:pPr>
              <w:pStyle w:val="Corpo"/>
              <w:numPr>
                <w:ilvl w:val="0"/>
                <w:numId w:val="3"/>
              </w:numPr>
              <w:spacing w:after="60" w:line="264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Tempi</w:t>
            </w:r>
            <w:r>
              <w:rPr>
                <w:rFonts w:ascii="Calibri" w:cs="Calibri" w:eastAsia="Calibri" w:hAnsi="Calibri"/>
                <w:sz w:val="21"/>
                <w:szCs w:val="21"/>
              </w:rPr>
              <w:t xml:space="preserve">: niente esecuzione prima di dieci giorni dalla notifica, salvo autorizzazione per pericolo nel ritardo (art. 482); il precetto diventa inefficace se entro </w:t>
            </w: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90 giorni</w:t>
            </w:r>
            <w:r>
              <w:rPr>
                <w:rFonts w:ascii="Calibri" w:cs="Calibri" w:eastAsia="Calibri" w:hAnsi="Calibri"/>
                <w:sz w:val="21"/>
                <w:szCs w:val="21"/>
              </w:rPr>
              <w:t xml:space="preserve"> dalla notifica non è iniziata l'esecuzione (art. 481).</w:t>
            </w:r>
          </w:p>
          <w:p>
            <w:pPr>
              <w:pStyle w:val="Corpo"/>
              <w:numPr>
                <w:ilvl w:val="0"/>
                <w:numId w:val="3"/>
              </w:numPr>
              <w:spacing w:after="60" w:line="264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Notifica alla parte personalmente</w:t>
            </w:r>
            <w:r>
              <w:rPr>
                <w:rFonts w:ascii="Calibri" w:cs="Calibri" w:eastAsia="Calibri" w:hAnsi="Calibri"/>
                <w:sz w:val="21"/>
                <w:szCs w:val="21"/>
              </w:rPr>
              <w:t xml:space="preserve">, come il titolo (artt. 479, co. 2, e 480, ultimo comma). Il precetto non si iscrive a ruolo: niente contributo unificato e niente 27 €.</w:t>
            </w:r>
          </w:p>
        </w:tc>
      </w:tr>
    </w:tbl>
    <w:p>
      <w:pPr>
        <w:spacing w:after="0" w:before="0" w:line="120"/>
      </w:pPr>
    </w:p>
    <w:p>
      <w:pPr>
        <w:pStyle w:val="Heading2"/>
      </w:pPr>
      <w:r>
        <w:rPr>
          <w:rFonts w:ascii="Georgia" w:cs="Georgia" w:eastAsia="Georgia" w:hAnsi="Georgia"/>
          <w:b/>
          <w:bCs/>
        </w:rPr>
        <w:t xml:space="preserve">1. A che cosa serve, quando si usa e quando no</w:t>
      </w:r>
    </w:p>
    <w:p>
      <w:pPr>
        <w:pStyle w:val="Corpo"/>
        <w:keepNext w:val="false"/>
        <w:spacing w:after="100" w:line="264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Serve</w:t>
      </w:r>
      <w:r>
        <w:rPr>
          <w:rFonts w:ascii="Calibri" w:cs="Calibri" w:eastAsia="Calibri" w:hAnsi="Calibri"/>
          <w:sz w:val="21"/>
          <w:szCs w:val="21"/>
        </w:rPr>
        <w:t xml:space="preserve"> a intimare al debitore di adempiere l'obbligo risultante dal titolo esecutivo, annunciandogli l'esecuzione forzata. È l'atto che, «se la legge non dispone altrimenti», deve precedere l'esecuzione insieme alla notificazione del titolo (art. 479, co. 1). L'esecuzione forzata, a sua volta, «non può avere luogo che in virtù di un titolo esecutivo per un diritto certo, liquido ed esigibile» (art. 474, co. 1).</w:t>
      </w:r>
    </w:p>
    <w:p>
      <w:pPr>
        <w:pStyle w:val="Corpo"/>
        <w:keepNext w:val="false"/>
        <w:spacing w:after="100" w:line="264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Si usa</w:t>
      </w:r>
      <w:r>
        <w:rPr>
          <w:rFonts w:ascii="Calibri" w:cs="Calibri" w:eastAsia="Calibri" w:hAnsi="Calibri"/>
          <w:sz w:val="21"/>
          <w:szCs w:val="21"/>
        </w:rPr>
        <w:t xml:space="preserve"> con uno dei titoli dell'art. 474, co. 2:</w:t>
      </w:r>
    </w:p>
    <w:p>
      <w:pPr>
        <w:pStyle w:val="Corpo"/>
        <w:spacing w:after="70" w:line="264"/>
        <w:ind w:left="425" w:hanging="425"/>
        <w:jc w:val="left"/>
      </w:pPr>
      <w:r>
        <w:rPr>
          <w:rFonts w:ascii="Calibri" w:cs="Calibri" w:eastAsia="Calibri" w:hAnsi="Calibri"/>
          <w:b/>
          <w:bCs/>
          <w:color w:val="2F5546"/>
          <w:sz w:val="21"/>
          <w:szCs w:val="21"/>
        </w:rPr>
        <w:t xml:space="preserve">1.</w:t>
      </w:r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sz w:val="21"/>
          <w:szCs w:val="21"/>
        </w:rPr>
        <w:t xml:space="preserve">sentenze, provvedimenti e altri atti ai quali la legge attribuisce espressamente efficacia esecutiva (sentenza di condanna di primo grado, decreto ingiuntivo esecutivo, ordinanza dell'art. 183-ter, verbale di conciliazione, ecc.);</w:t>
      </w:r>
    </w:p>
    <w:p>
      <w:pPr>
        <w:pStyle w:val="Corpo"/>
        <w:spacing w:after="70" w:line="264"/>
        <w:ind w:left="425" w:hanging="425"/>
        <w:jc w:val="left"/>
      </w:pPr>
      <w:r>
        <w:rPr>
          <w:rFonts w:ascii="Calibri" w:cs="Calibri" w:eastAsia="Calibri" w:hAnsi="Calibri"/>
          <w:b/>
          <w:bCs/>
          <w:color w:val="2F5546"/>
          <w:sz w:val="21"/>
          <w:szCs w:val="21"/>
        </w:rPr>
        <w:t xml:space="preserve">2.</w:t>
      </w:r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sz w:val="21"/>
          <w:szCs w:val="21"/>
        </w:rPr>
        <w:t xml:space="preserve">scritture private autenticate, per le obbligazioni di somme di danaro in esse contenute, cambiali e altri titoli di credito ai quali la legge attribuisce la stessa efficacia;</w:t>
      </w:r>
    </w:p>
    <w:p>
      <w:pPr>
        <w:pStyle w:val="Corpo"/>
        <w:spacing w:after="70" w:line="264"/>
        <w:ind w:left="425" w:hanging="425"/>
        <w:jc w:val="left"/>
      </w:pPr>
      <w:r>
        <w:rPr>
          <w:rFonts w:ascii="Calibri" w:cs="Calibri" w:eastAsia="Calibri" w:hAnsi="Calibri"/>
          <w:b/>
          <w:bCs/>
          <w:color w:val="2F5546"/>
          <w:sz w:val="21"/>
          <w:szCs w:val="21"/>
        </w:rPr>
        <w:t xml:space="preserve">3.</w:t>
      </w:r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sz w:val="21"/>
          <w:szCs w:val="21"/>
        </w:rPr>
        <w:t xml:space="preserve">atti ricevuti da notaio o da altro pubblico ufficiale autorizzato.</w:t>
      </w:r>
    </w:p>
    <w:p>
      <w:pPr>
        <w:pStyle w:val="Corpo"/>
        <w:keepNext w:val="false"/>
        <w:spacing w:after="100" w:line="264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Per l'esecuzione per consegna o rilascio servono i titoli dei nn. 1 e 3 (art. 474, co. 3).</w:t>
      </w:r>
    </w:p>
    <w:p>
      <w:pPr>
        <w:pStyle w:val="Corpo"/>
        <w:keepNext w:val="false"/>
        <w:spacing w:after="100" w:line="264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Non si usa</w:t>
      </w:r>
      <w:r>
        <w:rPr>
          <w:rFonts w:ascii="Calibri" w:cs="Calibri" w:eastAsia="Calibri" w:hAnsi="Calibri"/>
          <w:sz w:val="21"/>
          <w:szCs w:val="21"/>
        </w:rPr>
        <w:t xml:space="preserve"> (o non si usa così):</w:t>
      </w:r>
    </w:p>
    <w:tbl>
      <w:tblPr>
        <w:tblW w:type="dxa" w:w="9638"/>
        <w:tblBorders>
          <w:top w:val="single" w:color="D9DAD2" w:sz="4"/>
          <w:left w:val="none" w:color="FFFFFF" w:sz="0"/>
          <w:bottom w:val="single" w:color="D9DAD2" w:sz="4"/>
          <w:right w:val="none" w:color="FFFFFF" w:sz="0"/>
          <w:insideH w:val="single" w:color="D9DAD2" w:sz="4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  <w:tblHeader/>
        </w:trPr>
        <w:tc>
          <w:tcPr>
            <w:tcW w:type="dxa" w:w="4819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2F554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Situazione</w:t>
            </w:r>
          </w:p>
        </w:tc>
        <w:tc>
          <w:tcPr>
            <w:tcW w:type="dxa" w:w="4819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2F554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Che cosa fare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Titolo non ancora esecutivo (decreto ingiuntivo non dichiarato esecutivo, sentenza di mero accertamento)</w:t>
            </w:r>
          </w:p>
        </w:tc>
        <w:tc>
          <w:tcPr>
            <w:tcW w:type="dxa" w:w="4819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ottenere prima l'esecutorietà (art. 647) o un titolo di condanna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Credito da quantificare con operazioni non meramente aritmetiche</w:t>
            </w:r>
          </w:p>
        </w:tc>
        <w:tc>
          <w:tcPr>
            <w:tcW w:type="dxa" w:w="4819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il diritto non è «liquido»: rischio di opposizione all'esecuzione (art. 615)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Titolo contro il defunto</w:t>
            </w:r>
          </w:p>
        </w:tc>
        <w:tc>
          <w:tcPr>
            <w:tcW w:type="dxa" w:w="4819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il precetto agli eredi si notifica «soltanto dopo dieci giorni dalla notificazione del titolo» (art. 477)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Titolo subordinato a cauzione</w:t>
            </w:r>
          </w:p>
        </w:tc>
        <w:tc>
          <w:tcPr>
            <w:tcW w:type="dxa" w:w="4819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non si inizia l'esecuzione finché la cauzione non è prestata, e se ne fa constare con annotazione o atto separato (art. 478)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Debitore pubblica amministrazione</w:t>
            </w:r>
          </w:p>
        </w:tc>
        <w:tc>
          <w:tcPr>
            <w:tcW w:type="dxa" w:w="4819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regole speciali (fra cui il foro dell'art. 26-bis, co. 1, per l'espropriazione di crediti): non trattate in questo formulario</w:t>
            </w:r>
          </w:p>
        </w:tc>
      </w:tr>
    </w:tbl>
    <w:p>
      <w:pPr>
        <w:spacing w:after="0" w:before="0" w:line="120"/>
      </w:pPr>
    </w:p>
    <w:p>
      <w:pPr>
        <w:pStyle w:val="Heading2"/>
      </w:pPr>
      <w:r>
        <w:rPr>
          <w:rFonts w:ascii="Georgia" w:cs="Georgia" w:eastAsia="Georgia" w:hAnsi="Georgia"/>
          <w:b/>
          <w:bCs/>
        </w:rPr>
        <w:t xml:space="preserve">2. Riferimenti normativi (testo vigente verificato il 18/10/2026)</w:t>
      </w:r>
    </w:p>
    <w:tbl>
      <w:tblPr>
        <w:tblW w:type="dxa" w:w="9638"/>
        <w:tblBorders>
          <w:top w:val="single" w:color="D9DAD2" w:sz="4"/>
          <w:left w:val="none" w:color="FFFFFF" w:sz="0"/>
          <w:bottom w:val="single" w:color="D9DAD2" w:sz="4"/>
          <w:right w:val="none" w:color="FFFFFF" w:sz="0"/>
          <w:insideH w:val="single" w:color="D9DAD2" w:sz="4"/>
          <w:insideV w:val="none" w:color="FFFFFF" w:sz="0"/>
        </w:tblBorders>
        <w:tblLayout w:type="fixed"/>
      </w:tblPr>
      <w:tblGrid>
        <w:gridCol w:w="3021"/>
        <w:gridCol w:w="4742"/>
        <w:gridCol w:w="1875"/>
      </w:tblGrid>
      <w:tr>
        <w:trPr>
          <w:cantSplit/>
          <w:tblHeader/>
        </w:trPr>
        <w:tc>
          <w:tcPr>
            <w:tcW w:type="dxa" w:w="302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2F554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Norma</w:t>
            </w:r>
          </w:p>
        </w:tc>
        <w:tc>
          <w:tcPr>
            <w:tcW w:type="dxa" w:w="474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2F554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Contenuto essenziale</w:t>
            </w:r>
          </w:p>
        </w:tc>
        <w:tc>
          <w:tcPr>
            <w:tcW w:type="dxa" w:w="187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2F554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In vigore dal</w:t>
            </w:r>
          </w:p>
        </w:tc>
      </w:tr>
      <w:tr>
        <w:trPr>
          <w:cantSplit/>
        </w:trPr>
        <w:tc>
          <w:tcPr>
            <w:tcW w:type="dxa" w:w="302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hyperlink w:history="1" r:id="rId7gbh70z7h8cqmeuaear55">
              <w:r>
                <w:rPr>
                  <w:rFonts w:ascii="Calibri" w:cs="Calibri" w:eastAsia="Calibri" w:hAnsi="Calibri"/>
                  <w:b w:val="false"/>
                  <w:bCs w:val="false"/>
                  <w:color w:val="2F6A4A"/>
                  <w:sz w:val="18"/>
                  <w:szCs w:val="18"/>
                  <w:u w:val="single" w:color="2F6A4A"/>
                </w:rPr>
                <w:t xml:space="preserve">art. 474 c.p.c.</w:t>
              </w:r>
            </w:hyperlink>
          </w:p>
        </w:tc>
        <w:tc>
          <w:tcPr>
            <w:tcW w:type="dxa" w:w="474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titoli esecutivi; trascrizione integrale delle scritture private autenticate</w:t>
            </w:r>
          </w:p>
        </w:tc>
        <w:tc>
          <w:tcPr>
            <w:tcW w:type="dxa" w:w="187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26/11/2024</w:t>
            </w:r>
          </w:p>
        </w:tc>
      </w:tr>
      <w:tr>
        <w:trPr>
          <w:cantSplit/>
        </w:trPr>
        <w:tc>
          <w:tcPr>
            <w:tcW w:type="dxa" w:w="302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hyperlink w:history="1" r:id="rIdtncc-aof-wob3k9o1ot6w">
              <w:r>
                <w:rPr>
                  <w:rFonts w:ascii="Calibri" w:cs="Calibri" w:eastAsia="Calibri" w:hAnsi="Calibri"/>
                  <w:b w:val="false"/>
                  <w:bCs w:val="false"/>
                  <w:color w:val="2F6A4A"/>
                  <w:sz w:val="18"/>
                  <w:szCs w:val="18"/>
                  <w:u w:val="single" w:color="2F6A4A"/>
                </w:rPr>
                <w:t xml:space="preserve">art. 475 c.p.c.</w:t>
              </w:r>
            </w:hyperlink>
          </w:p>
        </w:tc>
        <w:tc>
          <w:tcPr>
            <w:tcW w:type="dxa" w:w="474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copia attestata conforme o duplicato informatico</w:t>
            </w:r>
          </w:p>
        </w:tc>
        <w:tc>
          <w:tcPr>
            <w:tcW w:type="dxa" w:w="187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26/11/2024</w:t>
            </w:r>
          </w:p>
        </w:tc>
      </w:tr>
      <w:tr>
        <w:trPr>
          <w:cantSplit/>
        </w:trPr>
        <w:tc>
          <w:tcPr>
            <w:tcW w:type="dxa" w:w="302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hyperlink w:history="1" r:id="rIdzdjexdymao-pk2g7y_2mj">
              <w:r>
                <w:rPr>
                  <w:rFonts w:ascii="Calibri" w:cs="Calibri" w:eastAsia="Calibri" w:hAnsi="Calibri"/>
                  <w:b w:val="false"/>
                  <w:bCs w:val="false"/>
                  <w:color w:val="2F6A4A"/>
                  <w:sz w:val="18"/>
                  <w:szCs w:val="18"/>
                  <w:u w:val="single" w:color="2F6A4A"/>
                </w:rPr>
                <w:t xml:space="preserve">art. 476 c.p.c.</w:t>
              </w:r>
            </w:hyperlink>
          </w:p>
        </w:tc>
        <w:tc>
          <w:tcPr>
            <w:tcW w:type="dxa" w:w="474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abrogato</w:t>
            </w: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 dal d.lgs. 149/2022</w:t>
            </w:r>
          </w:p>
        </w:tc>
        <w:tc>
          <w:tcPr>
            <w:tcW w:type="dxa" w:w="187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28/02/2023</w:t>
            </w:r>
          </w:p>
        </w:tc>
      </w:tr>
      <w:tr>
        <w:trPr>
          <w:cantSplit/>
        </w:trPr>
        <w:tc>
          <w:tcPr>
            <w:tcW w:type="dxa" w:w="302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hyperlink w:history="1" r:id="rIdnygqcnkgfxasiglufvuwf">
              <w:r>
                <w:rPr>
                  <w:rFonts w:ascii="Calibri" w:cs="Calibri" w:eastAsia="Calibri" w:hAnsi="Calibri"/>
                  <w:b w:val="false"/>
                  <w:bCs w:val="false"/>
                  <w:color w:val="2F6A4A"/>
                  <w:sz w:val="18"/>
                  <w:szCs w:val="18"/>
                  <w:u w:val="single" w:color="2F6A4A"/>
                </w:rPr>
                <w:t xml:space="preserve">art. 477 c.p.c.</w:t>
              </w:r>
            </w:hyperlink>
          </w:p>
        </w:tc>
        <w:tc>
          <w:tcPr>
            <w:tcW w:type="dxa" w:w="474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titolo contro gli eredi</w:t>
            </w:r>
          </w:p>
        </w:tc>
        <w:tc>
          <w:tcPr>
            <w:tcW w:type="dxa" w:w="187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21/04/1942</w:t>
            </w:r>
          </w:p>
        </w:tc>
      </w:tr>
      <w:tr>
        <w:trPr>
          <w:cantSplit/>
        </w:trPr>
        <w:tc>
          <w:tcPr>
            <w:tcW w:type="dxa" w:w="302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hyperlink w:history="1" r:id="rIdxso9asdlmgq60ibvxilwn">
              <w:r>
                <w:rPr>
                  <w:rFonts w:ascii="Calibri" w:cs="Calibri" w:eastAsia="Calibri" w:hAnsi="Calibri"/>
                  <w:b w:val="false"/>
                  <w:bCs w:val="false"/>
                  <w:color w:val="2F6A4A"/>
                  <w:sz w:val="18"/>
                  <w:szCs w:val="18"/>
                  <w:u w:val="single" w:color="2F6A4A"/>
                </w:rPr>
                <w:t xml:space="preserve">art. 478 c.p.c.</w:t>
              </w:r>
            </w:hyperlink>
          </w:p>
        </w:tc>
        <w:tc>
          <w:tcPr>
            <w:tcW w:type="dxa" w:w="474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cauzione</w:t>
            </w:r>
          </w:p>
        </w:tc>
        <w:tc>
          <w:tcPr>
            <w:tcW w:type="dxa" w:w="187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26/11/2024</w:t>
            </w:r>
          </w:p>
        </w:tc>
      </w:tr>
      <w:tr>
        <w:trPr>
          <w:cantSplit/>
        </w:trPr>
        <w:tc>
          <w:tcPr>
            <w:tcW w:type="dxa" w:w="302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hyperlink w:history="1" r:id="rIdpeenp1e51l1somy6qedye">
              <w:r>
                <w:rPr>
                  <w:rFonts w:ascii="Calibri" w:cs="Calibri" w:eastAsia="Calibri" w:hAnsi="Calibri"/>
                  <w:b w:val="false"/>
                  <w:bCs w:val="false"/>
                  <w:color w:val="2F6A4A"/>
                  <w:sz w:val="18"/>
                  <w:szCs w:val="18"/>
                  <w:u w:val="single" w:color="2F6A4A"/>
                </w:rPr>
                <w:t xml:space="preserve">art. 479 c.p.c.</w:t>
              </w:r>
            </w:hyperlink>
          </w:p>
        </w:tc>
        <w:tc>
          <w:tcPr>
            <w:tcW w:type="dxa" w:w="474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notificazione del titolo e del precetto</w:t>
            </w:r>
          </w:p>
        </w:tc>
        <w:tc>
          <w:tcPr>
            <w:tcW w:type="dxa" w:w="187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26/11/2024</w:t>
            </w:r>
          </w:p>
        </w:tc>
      </w:tr>
      <w:tr>
        <w:trPr>
          <w:cantSplit/>
        </w:trPr>
        <w:tc>
          <w:tcPr>
            <w:tcW w:type="dxa" w:w="302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hyperlink w:history="1" r:id="rIdckll1ibmd0ria783x6tad">
              <w:r>
                <w:rPr>
                  <w:rFonts w:ascii="Calibri" w:cs="Calibri" w:eastAsia="Calibri" w:hAnsi="Calibri"/>
                  <w:b w:val="false"/>
                  <w:bCs w:val="false"/>
                  <w:color w:val="2F6A4A"/>
                  <w:sz w:val="18"/>
                  <w:szCs w:val="18"/>
                  <w:u w:val="single" w:color="2F6A4A"/>
                </w:rPr>
                <w:t xml:space="preserve">art. 480 c.p.c.</w:t>
              </w:r>
            </w:hyperlink>
          </w:p>
        </w:tc>
        <w:tc>
          <w:tcPr>
            <w:tcW w:type="dxa" w:w="474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forma del precetto e avvertimenti</w:t>
            </w:r>
          </w:p>
        </w:tc>
        <w:tc>
          <w:tcPr>
            <w:tcW w:type="dxa" w:w="187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26/11/2024</w:t>
            </w:r>
          </w:p>
        </w:tc>
      </w:tr>
      <w:tr>
        <w:trPr>
          <w:cantSplit/>
        </w:trPr>
        <w:tc>
          <w:tcPr>
            <w:tcW w:type="dxa" w:w="302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hyperlink w:history="1" r:id="rIdmisztscvc-fbdvblie4pu">
              <w:r>
                <w:rPr>
                  <w:rFonts w:ascii="Calibri" w:cs="Calibri" w:eastAsia="Calibri" w:hAnsi="Calibri"/>
                  <w:b w:val="false"/>
                  <w:bCs w:val="false"/>
                  <w:color w:val="2F6A4A"/>
                  <w:sz w:val="18"/>
                  <w:szCs w:val="18"/>
                  <w:u w:val="single" w:color="2F6A4A"/>
                </w:rPr>
                <w:t xml:space="preserve">art. 481 c.p.c.</w:t>
              </w:r>
            </w:hyperlink>
          </w:p>
        </w:tc>
        <w:tc>
          <w:tcPr>
            <w:tcW w:type="dxa" w:w="474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inefficacia dopo 90 giorni</w:t>
            </w:r>
          </w:p>
        </w:tc>
        <w:tc>
          <w:tcPr>
            <w:tcW w:type="dxa" w:w="187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21/04/1942</w:t>
            </w:r>
          </w:p>
        </w:tc>
      </w:tr>
      <w:tr>
        <w:trPr>
          <w:cantSplit/>
        </w:trPr>
        <w:tc>
          <w:tcPr>
            <w:tcW w:type="dxa" w:w="302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hyperlink w:history="1" r:id="rIdvejsv3txinv0teupchpqq">
              <w:r>
                <w:rPr>
                  <w:rFonts w:ascii="Calibri" w:cs="Calibri" w:eastAsia="Calibri" w:hAnsi="Calibri"/>
                  <w:b w:val="false"/>
                  <w:bCs w:val="false"/>
                  <w:color w:val="2F6A4A"/>
                  <w:sz w:val="18"/>
                  <w:szCs w:val="18"/>
                  <w:u w:val="single" w:color="2F6A4A"/>
                </w:rPr>
                <w:t xml:space="preserve">art. 482 c.p.c.</w:t>
              </w:r>
            </w:hyperlink>
          </w:p>
        </w:tc>
        <w:tc>
          <w:tcPr>
            <w:tcW w:type="dxa" w:w="474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termine ad adempiere; esecuzione immediata</w:t>
            </w:r>
          </w:p>
        </w:tc>
        <w:tc>
          <w:tcPr>
            <w:tcW w:type="dxa" w:w="187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04/07/1998</w:t>
            </w:r>
          </w:p>
        </w:tc>
      </w:tr>
      <w:tr>
        <w:trPr>
          <w:cantSplit/>
        </w:trPr>
        <w:tc>
          <w:tcPr>
            <w:tcW w:type="dxa" w:w="302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hyperlink w:history="1" r:id="rId3yiuqow4bemexp0w9rxex">
              <w:r>
                <w:rPr>
                  <w:rFonts w:ascii="Calibri" w:cs="Calibri" w:eastAsia="Calibri" w:hAnsi="Calibri"/>
                  <w:b w:val="false"/>
                  <w:bCs w:val="false"/>
                  <w:color w:val="2F6A4A"/>
                  <w:sz w:val="18"/>
                  <w:szCs w:val="18"/>
                  <w:u w:val="single" w:color="2F6A4A"/>
                </w:rPr>
                <w:t xml:space="preserve">art. 654 c.p.c.</w:t>
              </w:r>
            </w:hyperlink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, co. 2</w:t>
            </w:r>
          </w:p>
        </w:tc>
        <w:tc>
          <w:tcPr>
            <w:tcW w:type="dxa" w:w="474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precetto su decreto ingiuntivo esecutivo</w:t>
            </w:r>
          </w:p>
        </w:tc>
        <w:tc>
          <w:tcPr>
            <w:tcW w:type="dxa" w:w="187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26/11/2024</w:t>
            </w:r>
          </w:p>
        </w:tc>
      </w:tr>
      <w:tr>
        <w:trPr>
          <w:cantSplit/>
        </w:trPr>
        <w:tc>
          <w:tcPr>
            <w:tcW w:type="dxa" w:w="302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hyperlink w:history="1" r:id="rId1qlol-mw3o-qxb1pl1bgk">
              <w:r>
                <w:rPr>
                  <w:rFonts w:ascii="Calibri" w:cs="Calibri" w:eastAsia="Calibri" w:hAnsi="Calibri"/>
                  <w:b w:val="false"/>
                  <w:bCs w:val="false"/>
                  <w:color w:val="2F6A4A"/>
                  <w:sz w:val="18"/>
                  <w:szCs w:val="18"/>
                  <w:u w:val="single" w:color="2F6A4A"/>
                </w:rPr>
                <w:t xml:space="preserve">art. 125 c.p.c.</w:t>
              </w:r>
            </w:hyperlink>
          </w:p>
        </w:tc>
        <w:tc>
          <w:tcPr>
            <w:tcW w:type="dxa" w:w="474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sottoscrizione del precetto</w:t>
            </w:r>
          </w:p>
        </w:tc>
        <w:tc>
          <w:tcPr>
            <w:tcW w:type="dxa" w:w="187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26/11/2024</w:t>
            </w:r>
          </w:p>
        </w:tc>
      </w:tr>
      <w:tr>
        <w:trPr>
          <w:cantSplit/>
        </w:trPr>
        <w:tc>
          <w:tcPr>
            <w:tcW w:type="dxa" w:w="302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hyperlink w:history="1" r:id="rId_72pwifdig4vqmtpwd0ed">
              <w:r>
                <w:rPr>
                  <w:rFonts w:ascii="Calibri" w:cs="Calibri" w:eastAsia="Calibri" w:hAnsi="Calibri"/>
                  <w:b w:val="false"/>
                  <w:bCs w:val="false"/>
                  <w:color w:val="2F6A4A"/>
                  <w:sz w:val="18"/>
                  <w:szCs w:val="18"/>
                  <w:u w:val="single" w:color="2F6A4A"/>
                </w:rPr>
                <w:t xml:space="preserve">art. 83 c.p.c.</w:t>
              </w:r>
            </w:hyperlink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, co. 3</w:t>
            </w:r>
          </w:p>
        </w:tc>
        <w:tc>
          <w:tcPr>
            <w:tcW w:type="dxa" w:w="474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procura in calce al precetto</w:t>
            </w:r>
          </w:p>
        </w:tc>
        <w:tc>
          <w:tcPr>
            <w:tcW w:type="dxa" w:w="187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04/07/2009</w:t>
            </w:r>
          </w:p>
        </w:tc>
      </w:tr>
      <w:tr>
        <w:trPr>
          <w:cantSplit/>
        </w:trPr>
        <w:tc>
          <w:tcPr>
            <w:tcW w:type="dxa" w:w="302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hyperlink w:history="1" r:id="rIdyaghfp0uor1ifroxps6wb">
              <w:r>
                <w:rPr>
                  <w:rFonts w:ascii="Calibri" w:cs="Calibri" w:eastAsia="Calibri" w:hAnsi="Calibri"/>
                  <w:b w:val="false"/>
                  <w:bCs w:val="false"/>
                  <w:color w:val="2F6A4A"/>
                  <w:sz w:val="18"/>
                  <w:szCs w:val="18"/>
                  <w:u w:val="single" w:color="2F6A4A"/>
                </w:rPr>
                <w:t xml:space="preserve">art. 91 c.p.c.</w:t>
              </w:r>
            </w:hyperlink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, co. 2</w:t>
            </w:r>
          </w:p>
        </w:tc>
        <w:tc>
          <w:tcPr>
            <w:tcW w:type="dxa" w:w="474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spese di notifica di titolo e precetto liquidate dall'ufficiale giudiziario</w:t>
            </w:r>
          </w:p>
        </w:tc>
        <w:tc>
          <w:tcPr>
            <w:tcW w:type="dxa" w:w="187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21/02/2012</w:t>
            </w:r>
          </w:p>
        </w:tc>
      </w:tr>
      <w:tr>
        <w:trPr>
          <w:cantSplit/>
        </w:trPr>
        <w:tc>
          <w:tcPr>
            <w:tcW w:type="dxa" w:w="302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hyperlink w:history="1" r:id="rIditxpae7elvualwsr0t2zo">
              <w:r>
                <w:rPr>
                  <w:rFonts w:ascii="Calibri" w:cs="Calibri" w:eastAsia="Calibri" w:hAnsi="Calibri"/>
                  <w:b w:val="false"/>
                  <w:bCs w:val="false"/>
                  <w:color w:val="2F6A4A"/>
                  <w:sz w:val="18"/>
                  <w:szCs w:val="18"/>
                  <w:u w:val="single" w:color="2F6A4A"/>
                </w:rPr>
                <w:t xml:space="preserve">art. 95 c.p.c.</w:t>
              </w:r>
            </w:hyperlink>
          </w:p>
        </w:tc>
        <w:tc>
          <w:tcPr>
            <w:tcW w:type="dxa" w:w="474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spese dell'esecuzione a carico dell'esecutato</w:t>
            </w:r>
          </w:p>
        </w:tc>
        <w:tc>
          <w:tcPr>
            <w:tcW w:type="dxa" w:w="187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21/04/1942</w:t>
            </w:r>
          </w:p>
        </w:tc>
      </w:tr>
      <w:tr>
        <w:trPr>
          <w:cantSplit/>
        </w:trPr>
        <w:tc>
          <w:tcPr>
            <w:tcW w:type="dxa" w:w="302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hyperlink w:history="1" r:id="rId1pkd47f8sezxuzmthsv4i">
              <w:r>
                <w:rPr>
                  <w:rFonts w:ascii="Calibri" w:cs="Calibri" w:eastAsia="Calibri" w:hAnsi="Calibri"/>
                  <w:b w:val="false"/>
                  <w:bCs w:val="false"/>
                  <w:color w:val="2F6A4A"/>
                  <w:sz w:val="18"/>
                  <w:szCs w:val="18"/>
                  <w:u w:val="single" w:color="2F6A4A"/>
                </w:rPr>
                <w:t xml:space="preserve">artt. 26</w:t>
              </w:r>
            </w:hyperlink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, </w:t>
            </w:r>
            <w:hyperlink w:history="1" r:id="rIdkwteezi9xk_hr7tdqqvvh">
              <w:r>
                <w:rPr>
                  <w:rFonts w:ascii="Calibri" w:cs="Calibri" w:eastAsia="Calibri" w:hAnsi="Calibri"/>
                  <w:b w:val="false"/>
                  <w:bCs w:val="false"/>
                  <w:color w:val="2F6A4A"/>
                  <w:sz w:val="18"/>
                  <w:szCs w:val="18"/>
                  <w:u w:val="single" w:color="2F6A4A"/>
                </w:rPr>
                <w:t xml:space="preserve">26-bis</w:t>
              </w:r>
            </w:hyperlink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, </w:t>
            </w:r>
            <w:hyperlink w:history="1" r:id="rIdklqiahzyuhyrw1nyuztcn">
              <w:r>
                <w:rPr>
                  <w:rFonts w:ascii="Calibri" w:cs="Calibri" w:eastAsia="Calibri" w:hAnsi="Calibri"/>
                  <w:b w:val="false"/>
                  <w:bCs w:val="false"/>
                  <w:color w:val="2F6A4A"/>
                  <w:sz w:val="18"/>
                  <w:szCs w:val="18"/>
                  <w:u w:val="single" w:color="2F6A4A"/>
                </w:rPr>
                <w:t xml:space="preserve">27 c.p.c.</w:t>
              </w:r>
            </w:hyperlink>
          </w:p>
        </w:tc>
        <w:tc>
          <w:tcPr>
            <w:tcW w:type="dxa" w:w="474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fori dell'esecuzione e delle opposizioni</w:t>
            </w:r>
          </w:p>
        </w:tc>
        <w:tc>
          <w:tcPr>
            <w:tcW w:type="dxa" w:w="187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11/11/2014; 24/12/2021; 21/04/1942</w:t>
            </w:r>
          </w:p>
        </w:tc>
      </w:tr>
      <w:tr>
        <w:trPr>
          <w:cantSplit/>
        </w:trPr>
        <w:tc>
          <w:tcPr>
            <w:tcW w:type="dxa" w:w="302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hyperlink w:history="1" r:id="rIdseyt5jgn21yy_ayaakqbl">
              <w:r>
                <w:rPr>
                  <w:rFonts w:ascii="Calibri" w:cs="Calibri" w:eastAsia="Calibri" w:hAnsi="Calibri"/>
                  <w:b w:val="false"/>
                  <w:bCs w:val="false"/>
                  <w:color w:val="2F6A4A"/>
                  <w:sz w:val="18"/>
                  <w:szCs w:val="18"/>
                  <w:u w:val="single" w:color="2F6A4A"/>
                </w:rPr>
                <w:t xml:space="preserve">art. 615 c.p.c.</w:t>
              </w:r>
            </w:hyperlink>
          </w:p>
        </w:tc>
        <w:tc>
          <w:tcPr>
            <w:tcW w:type="dxa" w:w="474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opposizione al precetto (all'esecuzione)</w:t>
            </w:r>
          </w:p>
        </w:tc>
        <w:tc>
          <w:tcPr>
            <w:tcW w:type="dxa" w:w="187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03/07/2016</w:t>
            </w:r>
          </w:p>
        </w:tc>
      </w:tr>
      <w:tr>
        <w:trPr>
          <w:cantSplit/>
        </w:trPr>
        <w:tc>
          <w:tcPr>
            <w:tcW w:type="dxa" w:w="302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hyperlink w:history="1" r:id="rId8ultjgzadohh8utu7fih4">
              <w:r>
                <w:rPr>
                  <w:rFonts w:ascii="Calibri" w:cs="Calibri" w:eastAsia="Calibri" w:hAnsi="Calibri"/>
                  <w:b w:val="false"/>
                  <w:bCs w:val="false"/>
                  <w:color w:val="2F6A4A"/>
                  <w:sz w:val="18"/>
                  <w:szCs w:val="18"/>
                  <w:u w:val="single" w:color="2F6A4A"/>
                </w:rPr>
                <w:t xml:space="preserve">art. 617 c.p.c.</w:t>
              </w:r>
            </w:hyperlink>
          </w:p>
        </w:tc>
        <w:tc>
          <w:tcPr>
            <w:tcW w:type="dxa" w:w="474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opposizione agli atti esecutivi: 20 giorni</w:t>
            </w:r>
          </w:p>
        </w:tc>
        <w:tc>
          <w:tcPr>
            <w:tcW w:type="dxa" w:w="187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11/09/2005</w:t>
            </w:r>
          </w:p>
        </w:tc>
      </w:tr>
      <w:tr>
        <w:trPr>
          <w:cantSplit/>
        </w:trPr>
        <w:tc>
          <w:tcPr>
            <w:tcW w:type="dxa" w:w="302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hyperlink w:history="1" r:id="rId7s5o1vctrivvgln0ricl7">
              <w:r>
                <w:rPr>
                  <w:rFonts w:ascii="Calibri" w:cs="Calibri" w:eastAsia="Calibri" w:hAnsi="Calibri"/>
                  <w:b w:val="false"/>
                  <w:bCs w:val="false"/>
                  <w:color w:val="2F6A4A"/>
                  <w:sz w:val="18"/>
                  <w:szCs w:val="18"/>
                  <w:u w:val="single" w:color="2F6A4A"/>
                </w:rPr>
                <w:t xml:space="preserve">art. 1194 c.c.</w:t>
              </w:r>
            </w:hyperlink>
          </w:p>
        </w:tc>
        <w:tc>
          <w:tcPr>
            <w:tcW w:type="dxa" w:w="474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imputazione dei pagamenti a interessi e spese</w:t>
            </w:r>
          </w:p>
        </w:tc>
        <w:tc>
          <w:tcPr>
            <w:tcW w:type="dxa" w:w="187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19/04/1942</w:t>
            </w:r>
          </w:p>
        </w:tc>
      </w:tr>
      <w:tr>
        <w:trPr>
          <w:cantSplit/>
        </w:trPr>
        <w:tc>
          <w:tcPr>
            <w:tcW w:type="dxa" w:w="302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hyperlink w:history="1" r:id="rIdcwi4ska6lnihbhx4rqkj2">
              <w:r>
                <w:rPr>
                  <w:rFonts w:ascii="Calibri" w:cs="Calibri" w:eastAsia="Calibri" w:hAnsi="Calibri"/>
                  <w:b w:val="false"/>
                  <w:bCs w:val="false"/>
                  <w:color w:val="2F6A4A"/>
                  <w:sz w:val="18"/>
                  <w:szCs w:val="18"/>
                  <w:u w:val="single" w:color="2F6A4A"/>
                </w:rPr>
                <w:t xml:space="preserve">art. 1283 c.c.</w:t>
              </w:r>
            </w:hyperlink>
          </w:p>
        </w:tc>
        <w:tc>
          <w:tcPr>
            <w:tcW w:type="dxa" w:w="474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anatocismo</w:t>
            </w:r>
          </w:p>
        </w:tc>
        <w:tc>
          <w:tcPr>
            <w:tcW w:type="dxa" w:w="187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19/04/1942</w:t>
            </w:r>
          </w:p>
        </w:tc>
      </w:tr>
      <w:tr>
        <w:trPr>
          <w:cantSplit/>
        </w:trPr>
        <w:tc>
          <w:tcPr>
            <w:tcW w:type="dxa" w:w="302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hyperlink w:history="1" r:id="rIdbzy4dldsux6ee-gt4n5sa">
              <w:r>
                <w:rPr>
                  <w:rFonts w:ascii="Calibri" w:cs="Calibri" w:eastAsia="Calibri" w:hAnsi="Calibri"/>
                  <w:b w:val="false"/>
                  <w:bCs w:val="false"/>
                  <w:color w:val="2F6A4A"/>
                  <w:sz w:val="18"/>
                  <w:szCs w:val="18"/>
                  <w:u w:val="single" w:color="2F6A4A"/>
                </w:rPr>
                <w:t xml:space="preserve">art. 1284 c.c.</w:t>
              </w:r>
            </w:hyperlink>
          </w:p>
        </w:tc>
        <w:tc>
          <w:tcPr>
            <w:tcW w:type="dxa" w:w="474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saggio legale: 1,60% dal 1° gennaio 2026</w:t>
            </w:r>
          </w:p>
        </w:tc>
        <w:tc>
          <w:tcPr>
            <w:tcW w:type="dxa" w:w="187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28/12/2025</w:t>
            </w:r>
          </w:p>
        </w:tc>
      </w:tr>
      <w:tr>
        <w:trPr>
          <w:cantSplit/>
        </w:trPr>
        <w:tc>
          <w:tcPr>
            <w:tcW w:type="dxa" w:w="302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hyperlink w:history="1" r:id="rId1dgcj7d9xrw29nu7iapbg">
              <w:r>
                <w:rPr>
                  <w:rFonts w:ascii="Calibri" w:cs="Calibri" w:eastAsia="Calibri" w:hAnsi="Calibri"/>
                  <w:b w:val="false"/>
                  <w:bCs w:val="false"/>
                  <w:color w:val="2F6A4A"/>
                  <w:sz w:val="18"/>
                  <w:szCs w:val="18"/>
                  <w:u w:val="single" w:color="2F6A4A"/>
                </w:rPr>
                <w:t xml:space="preserve">d.lgs. 231/2002</w:t>
              </w:r>
            </w:hyperlink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, artt. 2, 4, 5, 6</w:t>
            </w:r>
          </w:p>
        </w:tc>
        <w:tc>
          <w:tcPr>
            <w:tcW w:type="dxa" w:w="474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interessi legali di mora; 40 €</w:t>
            </w:r>
          </w:p>
        </w:tc>
        <w:tc>
          <w:tcPr>
            <w:tcW w:type="dxa" w:w="187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2012-2020</w:t>
            </w:r>
          </w:p>
        </w:tc>
      </w:tr>
      <w:tr>
        <w:trPr>
          <w:cantSplit/>
        </w:trPr>
        <w:tc>
          <w:tcPr>
            <w:tcW w:type="dxa" w:w="302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hyperlink w:history="1" r:id="rIdz0lty-y9cxge_7trzobhw">
              <w:r>
                <w:rPr>
                  <w:rFonts w:ascii="Calibri" w:cs="Calibri" w:eastAsia="Calibri" w:hAnsi="Calibri"/>
                  <w:b w:val="false"/>
                  <w:bCs w:val="false"/>
                  <w:color w:val="2F6A4A"/>
                  <w:sz w:val="18"/>
                  <w:szCs w:val="18"/>
                  <w:u w:val="single" w:color="2F6A4A"/>
                </w:rPr>
                <w:t xml:space="preserve">art. 2953 c.c.</w:t>
              </w:r>
            </w:hyperlink>
          </w:p>
        </w:tc>
        <w:tc>
          <w:tcPr>
            <w:tcW w:type="dxa" w:w="474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prescrizione decennale dopo il giudicato</w:t>
            </w:r>
          </w:p>
        </w:tc>
        <w:tc>
          <w:tcPr>
            <w:tcW w:type="dxa" w:w="187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19/04/1942</w:t>
            </w:r>
          </w:p>
        </w:tc>
      </w:tr>
      <w:tr>
        <w:trPr>
          <w:cantSplit/>
        </w:trPr>
        <w:tc>
          <w:tcPr>
            <w:tcW w:type="dxa" w:w="302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hyperlink w:history="1" r:id="rIdsluk9yrbn4frg3kic-8nq">
              <w:r>
                <w:rPr>
                  <w:rFonts w:ascii="Calibri" w:cs="Calibri" w:eastAsia="Calibri" w:hAnsi="Calibri"/>
                  <w:b w:val="false"/>
                  <w:bCs w:val="false"/>
                  <w:color w:val="2F6A4A"/>
                  <w:sz w:val="18"/>
                  <w:szCs w:val="18"/>
                  <w:u w:val="single" w:color="2F6A4A"/>
                </w:rPr>
                <w:t xml:space="preserve">d.m. 10 marzo 2014, n. 55</w:t>
              </w:r>
            </w:hyperlink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, artt. 2 e 4</w:t>
            </w:r>
          </w:p>
        </w:tc>
        <w:tc>
          <w:tcPr>
            <w:tcW w:type="dxa" w:w="474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spese generali 15%; fase esecutiva</w:t>
            </w:r>
          </w:p>
        </w:tc>
        <w:tc>
          <w:tcPr>
            <w:tcW w:type="dxa" w:w="187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23/10/2022</w:t>
            </w:r>
          </w:p>
        </w:tc>
      </w:tr>
      <w:tr>
        <w:trPr>
          <w:cantSplit/>
        </w:trPr>
        <w:tc>
          <w:tcPr>
            <w:tcW w:type="dxa" w:w="302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hyperlink w:history="1" r:id="rIdu0mqyrtl6zcucmp3erqgz">
              <w:r>
                <w:rPr>
                  <w:rFonts w:ascii="Calibri" w:cs="Calibri" w:eastAsia="Calibri" w:hAnsi="Calibri"/>
                  <w:b w:val="false"/>
                  <w:bCs w:val="false"/>
                  <w:color w:val="2F6A4A"/>
                  <w:sz w:val="18"/>
                  <w:szCs w:val="18"/>
                  <w:u w:val="single" w:color="2F6A4A"/>
                </w:rPr>
                <w:t xml:space="preserve">art. 16 d.P.R. 633/1972</w:t>
              </w:r>
            </w:hyperlink>
          </w:p>
        </w:tc>
        <w:tc>
          <w:tcPr>
            <w:tcW w:type="dxa" w:w="474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IVA 22%, in vigore fino al 31/12/2026</w:t>
            </w:r>
          </w:p>
        </w:tc>
        <w:tc>
          <w:tcPr>
            <w:tcW w:type="dxa" w:w="187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01/01/2016</w:t>
            </w:r>
          </w:p>
        </w:tc>
      </w:tr>
      <w:tr>
        <w:trPr>
          <w:cantSplit/>
        </w:trPr>
        <w:tc>
          <w:tcPr>
            <w:tcW w:type="dxa" w:w="302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hyperlink w:history="1" r:id="rIdzfuwo-qeq12-n2kfc8hcl">
              <w:r>
                <w:rPr>
                  <w:rFonts w:ascii="Calibri" w:cs="Calibri" w:eastAsia="Calibri" w:hAnsi="Calibri"/>
                  <w:b w:val="false"/>
                  <w:bCs w:val="false"/>
                  <w:color w:val="2F6A4A"/>
                  <w:sz w:val="18"/>
                  <w:szCs w:val="18"/>
                  <w:u w:val="single" w:color="2F6A4A"/>
                </w:rPr>
                <w:t xml:space="preserve">art. 11 l. 576/1980</w:t>
              </w:r>
            </w:hyperlink>
          </w:p>
        </w:tc>
        <w:tc>
          <w:tcPr>
            <w:tcW w:type="dxa" w:w="474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contributo integrativo (CPA)</w:t>
            </w:r>
          </w:p>
        </w:tc>
        <w:tc>
          <w:tcPr>
            <w:tcW w:type="dxa" w:w="187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06/03/1992</w:t>
            </w:r>
          </w:p>
        </w:tc>
      </w:tr>
      <w:tr>
        <w:trPr>
          <w:cantSplit/>
        </w:trPr>
        <w:tc>
          <w:tcPr>
            <w:tcW w:type="dxa" w:w="302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hyperlink w:history="1" r:id="rId689cp57p_f6wv3ljzysyy">
              <w:r>
                <w:rPr>
                  <w:rFonts w:ascii="Calibri" w:cs="Calibri" w:eastAsia="Calibri" w:hAnsi="Calibri"/>
                  <w:b w:val="false"/>
                  <w:bCs w:val="false"/>
                  <w:color w:val="2F6A4A"/>
                  <w:sz w:val="18"/>
                  <w:szCs w:val="18"/>
                  <w:u w:val="single" w:color="2F6A4A"/>
                </w:rPr>
                <w:t xml:space="preserve">d.lgs. 14/2019 (Codice della crisi)</w:t>
              </w:r>
            </w:hyperlink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, artt. 65, 67, 390</w:t>
            </w:r>
          </w:p>
        </w:tc>
        <w:tc>
          <w:tcPr>
            <w:tcW w:type="dxa" w:w="474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procedure di sovraindebitamento; disciplina transitoria</w:t>
            </w:r>
          </w:p>
        </w:tc>
        <w:tc>
          <w:tcPr>
            <w:tcW w:type="dxa" w:w="187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28/09/2024; 15/07/2022</w:t>
            </w:r>
          </w:p>
        </w:tc>
      </w:tr>
    </w:tbl>
    <w:p>
      <w:pPr>
        <w:spacing w:after="0" w:before="0" w:line="120"/>
      </w:pPr>
    </w:p>
    <w:p>
      <w:pPr>
        <w:pStyle w:val="Corpo"/>
        <w:keepNext w:val="false"/>
        <w:spacing w:after="100" w:line="264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Diritto transitorio della riforma dell'esecuzione.</w:t>
      </w:r>
      <w:r>
        <w:rPr>
          <w:rFonts w:ascii="Calibri" w:cs="Calibri" w:eastAsia="Calibri" w:hAnsi="Calibri"/>
          <w:sz w:val="21"/>
          <w:szCs w:val="21"/>
        </w:rPr>
        <w:t xml:space="preserve"> Le modifiche del d.lgs. 149/2022 agli artt. 475, 476, 478 e 479 (art. 3, co. 34, lett. b, c, d ed e: abolizione della formula esecutiva) «si applicano agli atti di precetto notificati successivamente al 28 febbraio 2023» (art. 35, co. 8); gli artt. 474, 475, 478 e 479, come modificati da quel decreto e dal d.lgs. 164/2024, «si applicano anche ai titoli esecutivi messi in esecuzione successivamente al 28 febbraio 2023» (art. 7, co. 4, d.lgs. 164/2024). Per un precetto notificato oggi valgono quindi le regole nuove anche se il titolo è anteriore.</w:t>
      </w:r>
    </w:p>
    <w:p>
      <w:pPr>
        <w:pStyle w:val="Heading2"/>
      </w:pPr>
      <w:r>
        <w:rPr>
          <w:rFonts w:ascii="Georgia" w:cs="Georgia" w:eastAsia="Georgia" w:hAnsi="Georgia"/>
          <w:b/>
          <w:bCs/>
        </w:rPr>
        <w:t xml:space="preserve">3. Termini e scadenze</w:t>
      </w:r>
    </w:p>
    <w:tbl>
      <w:tblPr>
        <w:tblW w:type="dxa" w:w="9638"/>
        <w:tblBorders>
          <w:top w:val="single" w:color="D9DAD2" w:sz="4"/>
          <w:left w:val="none" w:color="FFFFFF" w:sz="0"/>
          <w:bottom w:val="single" w:color="D9DAD2" w:sz="4"/>
          <w:right w:val="none" w:color="FFFFFF" w:sz="0"/>
          <w:insideH w:val="single" w:color="D9DAD2" w:sz="4"/>
          <w:insideV w:val="none" w:color="FFFFFF" w:sz="0"/>
        </w:tblBorders>
        <w:tblLayout w:type="fixed"/>
      </w:tblPr>
      <w:tblGrid>
        <w:gridCol w:w="1200"/>
        <w:gridCol w:w="3246"/>
        <w:gridCol w:w="3268"/>
        <w:gridCol w:w="1924"/>
      </w:tblGrid>
      <w:tr>
        <w:trPr>
          <w:cantSplit/>
          <w:tblHeader/>
        </w:trPr>
        <w:tc>
          <w:tcPr>
            <w:tcW w:type="dxa" w:w="120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2F554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Chi</w:t>
            </w:r>
          </w:p>
        </w:tc>
        <w:tc>
          <w:tcPr>
            <w:tcW w:type="dxa" w:w="3246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2F554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Che cosa</w:t>
            </w:r>
          </w:p>
        </w:tc>
        <w:tc>
          <w:tcPr>
            <w:tcW w:type="dxa" w:w="326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2F554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Entro quando</w:t>
            </w:r>
          </w:p>
        </w:tc>
        <w:tc>
          <w:tcPr>
            <w:tcW w:type="dxa" w:w="1924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2F554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Se si sbaglia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Creditore</w:t>
            </w:r>
          </w:p>
        </w:tc>
        <w:tc>
          <w:tcPr>
            <w:tcW w:type="dxa" w:w="3246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notificare il titolo (copia attestata conforme o duplicato informatico) alla parte personalmente</w:t>
            </w:r>
          </w:p>
        </w:tc>
        <w:tc>
          <w:tcPr>
            <w:tcW w:type="dxa" w:w="326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prima del precetto o insieme, di seguito al titolo, purché la notifica sia alla parte personalmente (art. 479)</w:t>
            </w:r>
          </w:p>
        </w:tc>
        <w:tc>
          <w:tcPr>
            <w:tcW w:type="dxa" w:w="1924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nullità dell'esecuzione per mancata notifica del titolo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Creditore, se il debitore è morto</w:t>
            </w:r>
          </w:p>
        </w:tc>
        <w:tc>
          <w:tcPr>
            <w:tcW w:type="dxa" w:w="3246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notificare il precetto agli eredi</w:t>
            </w:r>
          </w:p>
        </w:tc>
        <w:tc>
          <w:tcPr>
            <w:tcW w:type="dxa" w:w="326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non prima di </w:t>
            </w: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10 giorni</w:t>
            </w: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 dalla notificazione del titolo agli eredi; entro un anno dalla morte la notifica agli eredi può farsi collettivamente e impersonalmente all'ultimo domicilio del defunto (art. 477)</w:t>
            </w:r>
          </w:p>
        </w:tc>
        <w:tc>
          <w:tcPr>
            <w:tcW w:type="dxa" w:w="1924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Debitore</w:t>
            </w:r>
          </w:p>
        </w:tc>
        <w:tc>
          <w:tcPr>
            <w:tcW w:type="dxa" w:w="3246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adempiere</w:t>
            </w:r>
          </w:p>
        </w:tc>
        <w:tc>
          <w:tcPr>
            <w:tcW w:type="dxa" w:w="326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entro il termine del precetto, </w:t>
            </w: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non minore di dieci giorni</w:t>
            </w: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 (art. 480, co. 1)</w:t>
            </w:r>
          </w:p>
        </w:tc>
        <w:tc>
          <w:tcPr>
            <w:tcW w:type="dxa" w:w="1924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Creditore</w:t>
            </w:r>
          </w:p>
        </w:tc>
        <w:tc>
          <w:tcPr>
            <w:tcW w:type="dxa" w:w="3246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iniziare l'esecuzione</w:t>
            </w:r>
          </w:p>
        </w:tc>
        <w:tc>
          <w:tcPr>
            <w:tcW w:type="dxa" w:w="326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non prima che sia decorso il termine del precetto e comunque non prima di 10 giorni dalla notifica, salvo autorizzazione all'esecuzione immediata del presidente del tribunale competente per l'esecuzione, con o senza cauzione, «se vi è pericolo nel ritardo» (art. 482)</w:t>
            </w:r>
          </w:p>
        </w:tc>
        <w:tc>
          <w:tcPr>
            <w:tcW w:type="dxa" w:w="1924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pignoramento nullo se anticipato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Creditore</w:t>
            </w:r>
          </w:p>
        </w:tc>
        <w:tc>
          <w:tcPr>
            <w:tcW w:type="dxa" w:w="3246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iniziare l'esecuzione (pignoramento)</w:t>
            </w:r>
          </w:p>
        </w:tc>
        <w:tc>
          <w:tcPr>
            <w:tcW w:type="dxa" w:w="326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entro </w:t>
            </w: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90 giorni</w:t>
            </w: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 dalla notifica del precetto; il termine resta sospeso se è proposta opposizione e riprende a norma dell'art. 627 (art. 481)</w:t>
            </w:r>
          </w:p>
        </w:tc>
        <w:tc>
          <w:tcPr>
            <w:tcW w:type="dxa" w:w="1924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precetto inefficace: devi rinotificarlo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Debitore</w:t>
            </w:r>
          </w:p>
        </w:tc>
        <w:tc>
          <w:tcPr>
            <w:tcW w:type="dxa" w:w="3246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opposizione al precetto per contestare il diritto a procedere</w:t>
            </w:r>
          </w:p>
        </w:tc>
        <w:tc>
          <w:tcPr>
            <w:tcW w:type="dxa" w:w="326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prima dell'inizio dell'esecuzione, con citazione davanti al giudice competente per materia o valore e per territorio a norma dell'art. 27 (art. 615, co. 1)</w:t>
            </w:r>
          </w:p>
        </w:tc>
        <w:tc>
          <w:tcPr>
            <w:tcW w:type="dxa" w:w="1924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Debitore</w:t>
            </w:r>
          </w:p>
        </w:tc>
        <w:tc>
          <w:tcPr>
            <w:tcW w:type="dxa" w:w="3246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opposizione per irregolarità formale del titolo o del precetto</w:t>
            </w:r>
          </w:p>
        </w:tc>
        <w:tc>
          <w:tcPr>
            <w:tcW w:type="dxa" w:w="326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20 giorni</w:t>
            </w: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 dalla notifica del titolo o del precetto, con citazione davanti al giudice indicato nell'art. 480, co. 3 (art. 617, co. 1)</w:t>
            </w:r>
          </w:p>
        </w:tc>
        <w:tc>
          <w:tcPr>
            <w:tcW w:type="dxa" w:w="1924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decadenza</w:t>
            </w:r>
          </w:p>
        </w:tc>
      </w:tr>
    </w:tbl>
    <w:p>
      <w:pPr>
        <w:spacing w:after="0" w:before="0" w:line="120"/>
      </w:pPr>
    </w:p>
    <w:p>
      <w:pPr>
        <w:pStyle w:val="Corpo"/>
        <w:keepNext w:val="false"/>
        <w:spacing w:after="100" w:line="264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Come si contano i termini.</w:t>
      </w:r>
      <w:r>
        <w:rPr>
          <w:rFonts w:ascii="Calibri" w:cs="Calibri" w:eastAsia="Calibri" w:hAnsi="Calibri"/>
          <w:sz w:val="21"/>
          <w:szCs w:val="21"/>
        </w:rPr>
        <w:t xml:space="preserve"> Si esclude il giorno iniziale e si contano i festivi; se l'ultimo giorno è festivo la scadenza è prorogata al primo giorno seguente non festivo; la proroga vale anche per gli atti da compiere fuori udienza che scadono di sabato (art. 155 c.p.c.).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Sospensione feriale</w:t>
      </w:r>
      <w:r>
        <w:rPr>
          <w:rFonts w:ascii="Calibri" w:cs="Calibri" w:eastAsia="Calibri" w:hAnsi="Calibri"/>
          <w:sz w:val="21"/>
          <w:szCs w:val="21"/>
        </w:rPr>
        <w:t xml:space="preserve">: «il decorso dei termini processuali relativi alle giurisdizioni ordinarie [...] è sospeso di diritto dal 1º al 31 agosto di ciascun anno, e riprende a decorrere dalla fine del periodo di sospensione»; se il termine comincia in agosto, l'inizio è differito alla fine del periodo (art. 1 l. 7 ottobre 1969, n. 742). Non si applica alle cause dell'art. 92 dell'ordinamento giudiziario (fra cui procedimenti cautelari e opposizione all'esecuzione, oltre alle cause dichiarate urgenti) e alle controversie degli artt. 429 e 459 c.p.c. richiamate dall'art. 3 della stessa legge (rinvio storico alle controversie di lavoro e di previdenza).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Termini «a ritroso»</w:t>
      </w:r>
      <w:r>
        <w:rPr>
          <w:rFonts w:ascii="Calibri" w:cs="Calibri" w:eastAsia="Calibri" w:hAnsi="Calibri"/>
          <w:sz w:val="21"/>
          <w:szCs w:val="21"/>
        </w:rPr>
        <w:t xml:space="preserve"> (quelli che si contano all'indietro dall'udienza, come i 70 giorni del convenuto o le memorie dell'art. 171-ter): la proroga dell'art. 155 è pensata per i termini che corrono in avanti e, applicata a ritroso, accorcerebbe lo spazio dell'altra parte; quando l'ultimo giorno utile cade di sabato o di festivo, la scelta che non espone a contestazioni è depositare il giorno lavorativo precedente. Allo stesso modo, quando un termine a ritroso attraversa agosto, conta il periodo feriale come neutro e anticipa: costa al più qualche settimana di lavoro in anticipo, mentre l'errore opposto costa la decadenza.</w:t>
      </w:r>
    </w:p>
    <w:p>
      <w:pPr>
        <w:pStyle w:val="Corpo"/>
        <w:keepNext w:val="false"/>
        <w:spacing w:after="100" w:line="264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Sospensione feriale ed esecuzione.</w:t>
      </w:r>
      <w:r>
        <w:rPr>
          <w:rFonts w:ascii="Calibri" w:cs="Calibri" w:eastAsia="Calibri" w:hAnsi="Calibri"/>
          <w:sz w:val="21"/>
          <w:szCs w:val="21"/>
        </w:rPr>
        <w:t xml:space="preserve"> L'art. 92 dell'ordinamento giudiziario, richiamato dall'art. 3 l. 742/1969, include fra le cause trattate nel periodo feriale quelle «di opposizione all'esecuzione»: per le opposizioni esecutive non contare sulla sospensione di agosto. Per il termine di 90 giorni dell'art. 481, che grava su di te, vale la stessa prudenza: l'esempio che segue è costruito fuori da agosto.</w:t>
      </w:r>
    </w:p>
    <w:p>
      <w:pPr>
        <w:pStyle w:val="Heading3"/>
      </w:pPr>
      <w:r>
        <w:rPr>
          <w:rFonts w:ascii="Calibri" w:cs="Calibri" w:eastAsia="Calibri" w:hAnsi="Calibri"/>
          <w:b/>
          <w:bCs/>
        </w:rPr>
        <w:t xml:space="preserve">Esempio di calcolo dei termini</w:t>
      </w:r>
    </w:p>
    <w:p>
      <w:pPr>
        <w:pStyle w:val="Corpo"/>
        <w:keepNext w:val="false"/>
        <w:spacing w:after="100" w:line="264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Precetto notificato a mezzo PEC con consegna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martedì 3 novembre 2026</w:t>
      </w:r>
      <w:r>
        <w:rPr>
          <w:rFonts w:ascii="Calibri" w:cs="Calibri" w:eastAsia="Calibri" w:hAnsi="Calibri"/>
          <w:sz w:val="21"/>
          <w:szCs w:val="21"/>
        </w:rPr>
        <w:t xml:space="preserve">.</w:t>
      </w:r>
    </w:p>
    <w:tbl>
      <w:tblPr>
        <w:tblW w:type="dxa" w:w="9638"/>
        <w:tblBorders>
          <w:top w:val="single" w:color="D9DAD2" w:sz="4"/>
          <w:left w:val="none" w:color="FFFFFF" w:sz="0"/>
          <w:bottom w:val="single" w:color="D9DAD2" w:sz="4"/>
          <w:right w:val="none" w:color="FFFFFF" w:sz="0"/>
          <w:insideH w:val="single" w:color="D9DAD2" w:sz="4"/>
          <w:insideV w:val="none" w:color="FFFFFF" w:sz="0"/>
        </w:tblBorders>
        <w:tblLayout w:type="fixed"/>
      </w:tblPr>
      <w:tblGrid>
        <w:gridCol w:w="3746"/>
        <w:gridCol w:w="1312"/>
        <w:gridCol w:w="4580"/>
      </w:tblGrid>
      <w:tr>
        <w:trPr>
          <w:cantSplit/>
          <w:tblHeader/>
        </w:trPr>
        <w:tc>
          <w:tcPr>
            <w:tcW w:type="dxa" w:w="3746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2F554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Passaggio</w:t>
            </w:r>
          </w:p>
        </w:tc>
        <w:tc>
          <w:tcPr>
            <w:tcW w:type="dxa" w:w="131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2F554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Calcolo</w:t>
            </w:r>
          </w:p>
        </w:tc>
        <w:tc>
          <w:tcPr>
            <w:tcW w:type="dxa" w:w="458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2F554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Data</w:t>
            </w:r>
          </w:p>
        </w:tc>
      </w:tr>
      <w:tr>
        <w:trPr>
          <w:cantSplit/>
        </w:trPr>
        <w:tc>
          <w:tcPr>
            <w:tcW w:type="dxa" w:w="3746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Ultimo giorno del termine ad adempiere (dieci giorni)</w:t>
            </w:r>
          </w:p>
        </w:tc>
        <w:tc>
          <w:tcPr>
            <w:tcW w:type="dxa" w:w="131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 novembre + 10</w:t>
            </w:r>
          </w:p>
        </w:tc>
        <w:tc>
          <w:tcPr>
            <w:tcW w:type="dxa" w:w="458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venerdì 13 novembre 2026</w:t>
            </w:r>
          </w:p>
        </w:tc>
      </w:tr>
      <w:tr>
        <w:trPr>
          <w:cantSplit/>
        </w:trPr>
        <w:tc>
          <w:tcPr>
            <w:tcW w:type="dxa" w:w="3746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Primo giorno utile per il pignoramento</w:t>
            </w:r>
          </w:p>
        </w:tc>
        <w:tc>
          <w:tcPr>
            <w:tcW w:type="dxa" w:w="131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decorsi dieci giorni</w:t>
            </w:r>
          </w:p>
        </w:tc>
        <w:tc>
          <w:tcPr>
            <w:tcW w:type="dxa" w:w="458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sabato 14 novembre 2026 (nella pratica, il primo giorno di servizio dell'ufficiale giudiziario)</w:t>
            </w:r>
          </w:p>
        </w:tc>
      </w:tr>
      <w:tr>
        <w:trPr>
          <w:cantSplit/>
        </w:trPr>
        <w:tc>
          <w:tcPr>
            <w:tcW w:type="dxa" w:w="3746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Ultimo giorno per iniziare l'esecuzione</w:t>
            </w:r>
          </w:p>
        </w:tc>
        <w:tc>
          <w:tcPr>
            <w:tcW w:type="dxa" w:w="131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 novembre + 90</w:t>
            </w:r>
          </w:p>
        </w:tc>
        <w:tc>
          <w:tcPr>
            <w:tcW w:type="dxa" w:w="458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lunedì 1° febbraio 2027</w:t>
            </w:r>
          </w:p>
        </w:tc>
      </w:tr>
      <w:tr>
        <w:trPr>
          <w:cantSplit/>
        </w:trPr>
        <w:tc>
          <w:tcPr>
            <w:tcW w:type="dxa" w:w="3746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Ultimo giorno per l'opposizione agli atti (art. 617, co. 1)</w:t>
            </w:r>
          </w:p>
        </w:tc>
        <w:tc>
          <w:tcPr>
            <w:tcW w:type="dxa" w:w="131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 novembre + 20</w:t>
            </w:r>
          </w:p>
        </w:tc>
        <w:tc>
          <w:tcPr>
            <w:tcW w:type="dxa" w:w="458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lunedì 23 novembre 2026</w:t>
            </w:r>
          </w:p>
        </w:tc>
      </w:tr>
    </w:tbl>
    <w:p>
      <w:pPr>
        <w:spacing w:after="0" w:before="0" w:line="120"/>
      </w:pPr>
    </w:p>
    <w:p>
      <w:pPr>
        <w:pStyle w:val="Heading2"/>
      </w:pPr>
      <w:r>
        <w:rPr>
          <w:rFonts w:ascii="Georgia" w:cs="Georgia" w:eastAsia="Georgia" w:hAnsi="Georgia"/>
          <w:b/>
          <w:bCs/>
        </w:rPr>
        <w:t xml:space="preserve">4. Il calcolo delle somme</w:t>
      </w:r>
    </w:p>
    <w:p>
      <w:pPr>
        <w:pStyle w:val="Corpo"/>
        <w:keepNext/>
        <w:spacing w:after="100" w:before="100" w:line="264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Regole che governano il conteggio</w:t>
      </w:r>
    </w:p>
    <w:p>
      <w:pPr>
        <w:pStyle w:val="Corpo"/>
        <w:numPr>
          <w:ilvl w:val="0"/>
          <w:numId w:val="3"/>
        </w:numPr>
        <w:spacing w:after="60" w:line="264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Le somme intimate devono corrispondere al titolo: capitale, interessi nella misura e dalla decorrenza indicate dal titolo, spese liquidate nel titolo, spese successive (precetto, notifiche). Le spese dell'esecuzione sono a carico di chi la subisce (art. 95).</w:t>
      </w:r>
    </w:p>
    <w:p>
      <w:pPr>
        <w:pStyle w:val="Corpo"/>
        <w:numPr>
          <w:ilvl w:val="0"/>
          <w:numId w:val="3"/>
        </w:numPr>
        <w:spacing w:after="60" w:line="264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Gli interessi si calcolano sul capitale, non sugli interessi: l'anatocismo è ammesso solo dal giorno della domanda giudiziale o per convenzione posteriore alla scadenza e per interessi dovuti almeno per sei mesi (art. 1283 c.c.).</w:t>
      </w:r>
    </w:p>
    <w:p>
      <w:pPr>
        <w:pStyle w:val="Corpo"/>
        <w:numPr>
          <w:ilvl w:val="0"/>
          <w:numId w:val="3"/>
        </w:numPr>
        <w:spacing w:after="60" w:line="264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Se il debitore ha pagato in parte, il pagamento si imputa prima agli interessi e alle spese, poi al capitale, salvo consenso del creditore (art. 1194 c.c.).</w:t>
      </w:r>
    </w:p>
    <w:p>
      <w:pPr>
        <w:pStyle w:val="Corpo"/>
        <w:numPr>
          <w:ilvl w:val="0"/>
          <w:numId w:val="3"/>
        </w:numPr>
        <w:spacing w:after="60" w:line="264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Interessi legali</w:t>
      </w:r>
      <w:r>
        <w:rPr>
          <w:rFonts w:ascii="Calibri" w:cs="Calibri" w:eastAsia="Calibri" w:hAnsi="Calibri"/>
          <w:sz w:val="21"/>
          <w:szCs w:val="21"/>
        </w:rPr>
        <w:t xml:space="preserve"> (art. 1284, co. 1, c.c.): 1,60% dal 1° gennaio 2026 (d.m. 10 dicembre 2025, in G.U. 13 dicembre 2025, n. 289); 2% nel 2025 (d.m. 10 dicembre 2024); 2,50% nel 2024 (d.m. 29 novembre 2023); 5% nel 2023. Il saggio per il 2027 sarà fissato con decreto entro il 15 dicembre 2026: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non ancora pubblicato</w:t>
      </w:r>
      <w:r>
        <w:rPr>
          <w:rFonts w:ascii="Calibri" w:cs="Calibri" w:eastAsia="Calibri" w:hAnsi="Calibri"/>
          <w:sz w:val="21"/>
          <w:szCs w:val="21"/>
        </w:rPr>
        <w:t xml:space="preserve"> alla data di questo formulario.</w:t>
      </w:r>
    </w:p>
    <w:p>
      <w:pPr>
        <w:pStyle w:val="Corpo"/>
        <w:numPr>
          <w:ilvl w:val="0"/>
          <w:numId w:val="3"/>
        </w:numPr>
        <w:spacing w:after="60" w:line="264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Interessi commerciali</w:t>
      </w:r>
      <w:r>
        <w:rPr>
          <w:rFonts w:ascii="Calibri" w:cs="Calibri" w:eastAsia="Calibri" w:hAnsi="Calibri"/>
          <w:sz w:val="21"/>
          <w:szCs w:val="21"/>
        </w:rPr>
        <w:t xml:space="preserve"> (d.lgs. 231/2002): tasso di riferimento + 8 punti, interessi semplici su base giornaliera (art. 2, lett. e); per il primo semestre il tasso in vigore il 1° gennaio, per il secondo quello in vigore il 1° luglio (art. 5, co. 2).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2026</w:t>
      </w:r>
      <w:r>
        <w:rPr>
          <w:rFonts w:ascii="Calibri" w:cs="Calibri" w:eastAsia="Calibri" w:hAnsi="Calibri"/>
          <w:sz w:val="21"/>
          <w:szCs w:val="21"/>
        </w:rPr>
        <w:t xml:space="preserve">: 2,15% nel primo semestre (comunicato MEF in G.U., Serie generale, n. 15 del 20 gennaio 2026) e 2,40% nel secondo (G.U., Serie generale, n. 163 del 16 luglio 2026), cioè interessi di mora al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10,15%</w:t>
      </w:r>
      <w:r>
        <w:rPr>
          <w:rFonts w:ascii="Calibri" w:cs="Calibri" w:eastAsia="Calibri" w:hAnsi="Calibri"/>
          <w:sz w:val="21"/>
          <w:szCs w:val="21"/>
        </w:rPr>
        <w:t xml:space="preserve"> e al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10,40%</w:t>
      </w:r>
      <w:r>
        <w:rPr>
          <w:rFonts w:ascii="Calibri" w:cs="Calibri" w:eastAsia="Calibri" w:hAnsi="Calibri"/>
          <w:sz w:val="21"/>
          <w:szCs w:val="21"/>
        </w:rPr>
        <w:t xml:space="preserve">. Primo semestre 2027: non ancora pubblicato.</w:t>
      </w:r>
    </w:p>
    <w:p>
      <w:pPr>
        <w:pStyle w:val="Corpo"/>
        <w:numPr>
          <w:ilvl w:val="0"/>
          <w:numId w:val="3"/>
        </w:numPr>
        <w:spacing w:after="60" w:line="264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Spese legali</w:t>
      </w:r>
      <w:r>
        <w:rPr>
          <w:rFonts w:ascii="Calibri" w:cs="Calibri" w:eastAsia="Calibri" w:hAnsi="Calibri"/>
          <w:sz w:val="21"/>
          <w:szCs w:val="21"/>
        </w:rPr>
        <w:t xml:space="preserve">: rimborso forfettario delle spese generali del 15% del compenso (art. 2, co. 2, d.m. 55/2014); contributo integrativo per la Cassa forense (art. 11 l. 576/1980; la misura del 4% è fissata dalla regolamentazione della Cassa e l'abbiamo verificata solo su fonti secondarie); IVA al 22% se dovuta (art. 16 d.P.R. 633/1972, in vigore fino al 31 dicembre 2026; dal 1° gennaio 2027 l'articolo è abrogato dal testo unico IVA, d.lgs. 19 gennaio 2026, n. 10, nel quale l'aliquota va verificata).</w:t>
      </w:r>
    </w:p>
    <w:p>
      <w:pPr>
        <w:pStyle w:val="Heading3"/>
      </w:pPr>
      <w:r>
        <w:rPr>
          <w:rFonts w:ascii="Calibri" w:cs="Calibri" w:eastAsia="Calibri" w:hAnsi="Calibri"/>
          <w:b/>
          <w:bCs/>
        </w:rPr>
        <w:t xml:space="preserve">Esempio di calcolo delle somme</w:t>
      </w:r>
    </w:p>
    <w:p>
      <w:pPr>
        <w:pStyle w:val="Corpo"/>
        <w:keepNext w:val="false"/>
        <w:spacing w:after="100" w:line="264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Titolo: decreto ingiuntivo provvisoriamente esecutivo ai sensi dell'art. 642, co. 2, per una fornitura fra imprese. Capitale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12.000,00 €</w:t>
      </w:r>
      <w:r>
        <w:rPr>
          <w:rFonts w:ascii="Calibri" w:cs="Calibri" w:eastAsia="Calibri" w:hAnsi="Calibri"/>
          <w:sz w:val="21"/>
          <w:szCs w:val="21"/>
        </w:rPr>
        <w:t xml:space="preserve"> (fattura scaduta il 31 gennaio 2026); interessi di mora del d.lgs. 231/2002 dal 1° febbraio 2026 al saldo; 40 € dell'art. 6, co. 2; spese della fase monitoria liquidate nel decreto. Precetto notificato il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3 novembre 2026</w:t>
      </w:r>
      <w:r>
        <w:rPr>
          <w:rFonts w:ascii="Calibri" w:cs="Calibri" w:eastAsia="Calibri" w:hAnsi="Calibri"/>
          <w:sz w:val="21"/>
          <w:szCs w:val="21"/>
        </w:rPr>
        <w:t xml:space="preserve">. Gli importi segnati «ipotetico» sono solo esemplificativi: usa quelli del tuo titolo e della tua nota.</w:t>
      </w:r>
    </w:p>
    <w:tbl>
      <w:tblPr>
        <w:tblW w:type="dxa" w:w="9638"/>
        <w:tblBorders>
          <w:top w:val="single" w:color="D9DAD2" w:sz="4"/>
          <w:left w:val="none" w:color="FFFFFF" w:sz="0"/>
          <w:bottom w:val="single" w:color="D9DAD2" w:sz="4"/>
          <w:right w:val="none" w:color="FFFFFF" w:sz="0"/>
          <w:insideH w:val="single" w:color="D9DAD2" w:sz="4"/>
          <w:insideV w:val="none" w:color="FFFFFF" w:sz="0"/>
        </w:tblBorders>
        <w:tblLayout w:type="fixed"/>
      </w:tblPr>
      <w:tblGrid>
        <w:gridCol w:w="4311"/>
        <w:gridCol w:w="4127"/>
        <w:gridCol w:w="1200"/>
      </w:tblGrid>
      <w:tr>
        <w:trPr>
          <w:cantSplit/>
          <w:tblHeader/>
        </w:trPr>
        <w:tc>
          <w:tcPr>
            <w:tcW w:type="dxa" w:w="431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2F554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Voce</w:t>
            </w:r>
          </w:p>
        </w:tc>
        <w:tc>
          <w:tcPr>
            <w:tcW w:type="dxa" w:w="412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2F554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Calcolo</w:t>
            </w:r>
          </w:p>
        </w:tc>
        <w:tc>
          <w:tcPr>
            <w:tcW w:type="dxa" w:w="120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2F554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Importo</w:t>
            </w:r>
          </w:p>
        </w:tc>
      </w:tr>
      <w:tr>
        <w:trPr>
          <w:cantSplit/>
        </w:trPr>
        <w:tc>
          <w:tcPr>
            <w:tcW w:type="dxa" w:w="431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Capitale</w:t>
            </w:r>
          </w:p>
        </w:tc>
        <w:tc>
          <w:tcPr>
            <w:tcW w:type="dxa" w:w="412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20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12.000,00 €</w:t>
            </w:r>
          </w:p>
        </w:tc>
      </w:tr>
      <w:tr>
        <w:trPr>
          <w:cantSplit/>
        </w:trPr>
        <w:tc>
          <w:tcPr>
            <w:tcW w:type="dxa" w:w="431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Interessi di mora 1/2/2026 – 30/6/2026</w:t>
            </w:r>
          </w:p>
        </w:tc>
        <w:tc>
          <w:tcPr>
            <w:tcW w:type="dxa" w:w="412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12.000 × 10,15% × 150/365</w:t>
            </w:r>
          </w:p>
        </w:tc>
        <w:tc>
          <w:tcPr>
            <w:tcW w:type="dxa" w:w="120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500,55 €</w:t>
            </w:r>
          </w:p>
        </w:tc>
      </w:tr>
      <w:tr>
        <w:trPr>
          <w:cantSplit/>
        </w:trPr>
        <w:tc>
          <w:tcPr>
            <w:tcW w:type="dxa" w:w="431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Interessi di mora 1/7/2026 – 3/11/2026</w:t>
            </w:r>
          </w:p>
        </w:tc>
        <w:tc>
          <w:tcPr>
            <w:tcW w:type="dxa" w:w="412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12.000 × 10,40% × 126/365</w:t>
            </w:r>
          </w:p>
        </w:tc>
        <w:tc>
          <w:tcPr>
            <w:tcW w:type="dxa" w:w="120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430,82 €</w:t>
            </w:r>
          </w:p>
        </w:tc>
      </w:tr>
      <w:tr>
        <w:trPr>
          <w:cantSplit/>
        </w:trPr>
        <w:tc>
          <w:tcPr>
            <w:tcW w:type="dxa" w:w="431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Importo forfettario art. 6, co. 2, d.lgs. 231/2002</w:t>
            </w:r>
          </w:p>
        </w:tc>
        <w:tc>
          <w:tcPr>
            <w:tcW w:type="dxa" w:w="412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20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40,00 €</w:t>
            </w:r>
          </w:p>
        </w:tc>
      </w:tr>
      <w:tr>
        <w:trPr>
          <w:cantSplit/>
        </w:trPr>
        <w:tc>
          <w:tcPr>
            <w:tcW w:type="dxa" w:w="431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Spese del monitorio liquidate nel decreto: compensi (ipotetico)</w:t>
            </w:r>
          </w:p>
        </w:tc>
        <w:tc>
          <w:tcPr>
            <w:tcW w:type="dxa" w:w="412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20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1.000,00 €</w:t>
            </w:r>
          </w:p>
        </w:tc>
      </w:tr>
      <w:tr>
        <w:trPr>
          <w:cantSplit/>
        </w:trPr>
        <w:tc>
          <w:tcPr>
            <w:tcW w:type="dxa" w:w="431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spese generali 15%</w:t>
            </w:r>
          </w:p>
        </w:tc>
        <w:tc>
          <w:tcPr>
            <w:tcW w:type="dxa" w:w="412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1.000 × 15%</w:t>
            </w:r>
          </w:p>
        </w:tc>
        <w:tc>
          <w:tcPr>
            <w:tcW w:type="dxa" w:w="120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150,00 €</w:t>
            </w:r>
          </w:p>
        </w:tc>
      </w:tr>
      <w:tr>
        <w:trPr>
          <w:cantSplit/>
        </w:trPr>
        <w:tc>
          <w:tcPr>
            <w:tcW w:type="dxa" w:w="431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contributo integrativo 4%</w:t>
            </w:r>
          </w:p>
        </w:tc>
        <w:tc>
          <w:tcPr>
            <w:tcW w:type="dxa" w:w="412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(1.000 + 150) × 4%</w:t>
            </w:r>
          </w:p>
        </w:tc>
        <w:tc>
          <w:tcPr>
            <w:tcW w:type="dxa" w:w="120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46,00 €</w:t>
            </w:r>
          </w:p>
        </w:tc>
      </w:tr>
      <w:tr>
        <w:trPr>
          <w:cantSplit/>
        </w:trPr>
        <w:tc>
          <w:tcPr>
            <w:tcW w:type="dxa" w:w="431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esborsi: contributo unificato dimezzato e anticipazione forfettaria</w:t>
            </w:r>
          </w:p>
        </w:tc>
        <w:tc>
          <w:tcPr>
            <w:tcW w:type="dxa" w:w="412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118,50 + 27,00</w:t>
            </w:r>
          </w:p>
        </w:tc>
        <w:tc>
          <w:tcPr>
            <w:tcW w:type="dxa" w:w="120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145,50 €</w:t>
            </w:r>
          </w:p>
        </w:tc>
      </w:tr>
      <w:tr>
        <w:trPr>
          <w:cantSplit/>
        </w:trPr>
        <w:tc>
          <w:tcPr>
            <w:tcW w:type="dxa" w:w="431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Compenso per il precetto (ipotetico, da determinare sui parametri del d.m. 55/2014)</w:t>
            </w:r>
          </w:p>
        </w:tc>
        <w:tc>
          <w:tcPr>
            <w:tcW w:type="dxa" w:w="412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20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300,00 €</w:t>
            </w:r>
          </w:p>
        </w:tc>
      </w:tr>
      <w:tr>
        <w:trPr>
          <w:cantSplit/>
        </w:trPr>
        <w:tc>
          <w:tcPr>
            <w:tcW w:type="dxa" w:w="431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spese generali 15%</w:t>
            </w:r>
          </w:p>
        </w:tc>
        <w:tc>
          <w:tcPr>
            <w:tcW w:type="dxa" w:w="412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300 × 15%</w:t>
            </w:r>
          </w:p>
        </w:tc>
        <w:tc>
          <w:tcPr>
            <w:tcW w:type="dxa" w:w="120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45,00 €</w:t>
            </w:r>
          </w:p>
        </w:tc>
      </w:tr>
      <w:tr>
        <w:trPr>
          <w:cantSplit/>
        </w:trPr>
        <w:tc>
          <w:tcPr>
            <w:tcW w:type="dxa" w:w="431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contributo integrativo 4%</w:t>
            </w:r>
          </w:p>
        </w:tc>
        <w:tc>
          <w:tcPr>
            <w:tcW w:type="dxa" w:w="412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(300 + 45) × 4%</w:t>
            </w:r>
          </w:p>
        </w:tc>
        <w:tc>
          <w:tcPr>
            <w:tcW w:type="dxa" w:w="120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13,80 €</w:t>
            </w:r>
          </w:p>
        </w:tc>
      </w:tr>
      <w:tr>
        <w:trPr>
          <w:cantSplit/>
        </w:trPr>
        <w:tc>
          <w:tcPr>
            <w:tcW w:type="dxa" w:w="431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Totale intimato al netto dell'IVA</w:t>
            </w:r>
          </w:p>
        </w:tc>
        <w:tc>
          <w:tcPr>
            <w:tcW w:type="dxa" w:w="412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</w:p>
        </w:tc>
        <w:tc>
          <w:tcPr>
            <w:tcW w:type="dxa" w:w="120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14.671,67 €</w:t>
            </w:r>
          </w:p>
        </w:tc>
      </w:tr>
      <w:tr>
        <w:trPr>
          <w:cantSplit/>
        </w:trPr>
        <w:tc>
          <w:tcPr>
            <w:tcW w:type="dxa" w:w="431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IVA sulle spese legali, se dovuta</w:t>
            </w:r>
          </w:p>
        </w:tc>
        <w:tc>
          <w:tcPr>
            <w:tcW w:type="dxa" w:w="412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secondo la fattura del difensore</w:t>
            </w:r>
          </w:p>
        </w:tc>
        <w:tc>
          <w:tcPr>
            <w:tcW w:type="dxa" w:w="120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[importo]</w:t>
            </w:r>
          </w:p>
        </w:tc>
      </w:tr>
      <w:tr>
        <w:trPr>
          <w:cantSplit/>
        </w:trPr>
        <w:tc>
          <w:tcPr>
            <w:tcW w:type="dxa" w:w="431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Spese di notifica del precetto</w:t>
            </w:r>
          </w:p>
        </w:tc>
        <w:tc>
          <w:tcPr>
            <w:tcW w:type="dxa" w:w="412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liquidate dall'ufficiale giudiziario (art. 91, co. 2) o pari a zero se notifichi a mezzo PEC</w:t>
            </w:r>
          </w:p>
        </w:tc>
        <w:tc>
          <w:tcPr>
            <w:tcW w:type="dxa" w:w="120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[importo]</w:t>
            </w:r>
          </w:p>
        </w:tc>
      </w:tr>
    </w:tbl>
    <w:p>
      <w:pPr>
        <w:spacing w:after="0" w:before="0" w:line="120"/>
      </w:pPr>
    </w:p>
    <w:p>
      <w:pPr>
        <w:pStyle w:val="Corpo"/>
        <w:keepNext w:val="false"/>
        <w:spacing w:after="100" w:line="264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Più gli interessi successivi fino al saldo e le spese successive occorrende. Se il credito non fosse commerciale, gli interessi legali sullo stesso capitale e periodo (276 giorni all'1,60%) sarebbero 145,18 €: la differenza spiega perché, in opposizione, la natura della transazione è la prima cosa che il debitore contesta.</w:t>
      </w:r>
    </w:p>
    <w:p>
      <w:pPr>
        <w:pStyle w:val="Heading2"/>
      </w:pPr>
      <w:r>
        <w:rPr>
          <w:rFonts w:ascii="Georgia" w:cs="Georgia" w:eastAsia="Georgia" w:hAnsi="Georgia"/>
          <w:b/>
          <w:bCs/>
        </w:rPr>
        <w:t xml:space="preserve">5. Costi e notifica</w:t>
      </w:r>
    </w:p>
    <w:p>
      <w:pPr>
        <w:pStyle w:val="Corpo"/>
        <w:keepNext w:val="false"/>
        <w:spacing w:after="100" w:line="264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Il precetto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non si deposita</w:t>
      </w:r>
      <w:r>
        <w:rPr>
          <w:rFonts w:ascii="Calibri" w:cs="Calibri" w:eastAsia="Calibri" w:hAnsi="Calibri"/>
          <w:sz w:val="21"/>
          <w:szCs w:val="21"/>
        </w:rPr>
        <w:t xml:space="preserve"> e non si iscrive a ruolo: non si paga il contributo unificato né l'anticipazione forfettaria di 27 €. Costi successivi, per l'esecuzione: contributo unificato di 278 € per l'esecuzione immobiliare, della metà (139 €) per le altre esecuzioni, 43 € per le esecuzioni mobiliari di valore inferiore a 2.500 € (art. 13, co. 2, d.P.R. 115/2002); 27 € al momento dell'istanza di assegnazione o vendita (art. 30, co. 1); 168 € per l'opposizione agli atti esecutivi (art. 13, co. 2).</w:t>
      </w:r>
    </w:p>
    <w:p>
      <w:pPr>
        <w:pStyle w:val="Corpo"/>
        <w:keepNext w:val="false"/>
        <w:spacing w:after="100" w:line="264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Notifica a mezzo PEC da parte dell'avvocato</w:t>
      </w:r>
      <w:r>
        <w:rPr>
          <w:rFonts w:ascii="Calibri" w:cs="Calibri" w:eastAsia="Calibri" w:hAnsi="Calibri"/>
          <w:sz w:val="21"/>
          <w:szCs w:val="21"/>
        </w:rPr>
        <w:t xml:space="preserve"> (l. 21 gennaio 1994, n. 53). È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obbligatoria</w:t>
      </w:r>
      <w:r>
        <w:rPr>
          <w:rFonts w:ascii="Calibri" w:cs="Calibri" w:eastAsia="Calibri" w:hAnsi="Calibri"/>
          <w:sz w:val="21"/>
          <w:szCs w:val="21"/>
        </w:rPr>
        <w:t xml:space="preserve"> quando il destinatario è un soggetto tenuto per legge a un domicilio digitale risultante da pubblici elenchi (per esempio imprese e professionisti iscritti in albi) o ha eletto domicilio digitale iscritto nel pubblico elenco delle persone fisiche (art. 3-ter, co. 1). Se la notifica PEC non riesce per causa imputabile al destinatario, l'avvocato inserisce l'atto nell'area riservata del Portale dei servizi telematici e la notifica si ha per eseguita nel decimo giorno successivo o, se prima, quando il destinatario vi accede (art. 3-ter, co. 2); se non riesce per causa non imputabile, si procede a mezzo posta o ufficiale giudiziario, dichiarandolo (co. 3; art. 137, ultimo comma, c.p.c.). Requisiti formali: indirizzo del notificante e del destinatario risultanti da pubblici elenchi; oggetto del messaggio «notificazione ai sensi della legge n. 53 del 1994»; relazione di notifica su documento informatico separato firmato digitalmente, con i dati dell'art. 3-bis, co. 5 (fra cui l'elenco da cui è estratto l'indirizzo e, per le copie di atti analogici, l'attestazione di conformità). Perfezionamento: per il notificante alla ricevuta di accettazione, per il destinatario alla ricevuta di avvenuta consegna (art. 3-bis, co. 3); le notifiche PEC si fanno senza limiti orari, ma se la consegna avviene fra le 21 e le 7 si perfezionano per il destinatario alle 7 (art. 147, co. 2 e 3, c.p.c.). Per la notifica a mezzo posta tramite ufficiale giudiziario: per il notificante conta la consegna del plico all'ufficiale giudiziario (art. 149, co. 3, c.p.c.).</w:t>
      </w:r>
    </w:p>
    <w:p>
      <w:pPr>
        <w:pStyle w:val="Corpo"/>
        <w:keepNext w:val="false"/>
        <w:spacing w:after="100" w:line="264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Alla parte personalmente.</w:t>
      </w:r>
      <w:r>
        <w:rPr>
          <w:rFonts w:ascii="Calibri" w:cs="Calibri" w:eastAsia="Calibri" w:hAnsi="Calibri"/>
          <w:sz w:val="21"/>
          <w:szCs w:val="21"/>
        </w:rPr>
        <w:t xml:space="preserve"> Titolo e precetto vanno notificati «alla parte personalmente a norma degli articoli 137 e seguenti» (artt. 479, co. 2, e 480, ultimo comma), non al procuratore costituito nel giudizio in cui il titolo si è formato. La notifica a mezzo PEC all'indirizzo del debitore risultante da pubblici elenchi rispetta la regola.</w:t>
      </w:r>
    </w:p>
    <w:p>
      <w:pPr>
        <w:pStyle w:val="Corpo"/>
        <w:keepNext w:val="false"/>
        <w:spacing w:after="100" w:line="264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Il titolo in copia attestata conforme.</w:t>
      </w:r>
      <w:r>
        <w:rPr>
          <w:rFonts w:ascii="Calibri" w:cs="Calibri" w:eastAsia="Calibri" w:hAnsi="Calibri"/>
          <w:sz w:val="21"/>
          <w:szCs w:val="21"/>
        </w:rPr>
        <w:t xml:space="preserve"> L'art. 475 non dice chi attesta la conformità; l'art. 196-octies disp. att. c.p.c. consente al difensore di estrarre dal fascicolo informatico duplicati e copie dei provvedimenti e di attestarne la conformità, con la stessa efficacia probatoria dell'atto che riproducono. Per gli atti notarili la copia deve essere munita del sigillo del notaio o dell'ufficio (art. 153 disp. att.). Se l'ufficio esecuzioni del tuo tribunale segue prassi particolari, verificale prima.</w:t>
      </w:r>
    </w:p>
    <w:p>
      <w:pPr>
        <w:pStyle w:val="Heading2"/>
      </w:pPr>
      <w:r>
        <w:rPr>
          <w:rFonts w:ascii="Georgia" w:cs="Georgia" w:eastAsia="Georgia" w:hAnsi="Georgia"/>
          <w:b/>
          <w:bCs/>
        </w:rPr>
        <w:t xml:space="preserve">6. Lista di controllo</w:t>
      </w:r>
    </w:p>
    <w:p>
      <w:pPr>
        <w:pStyle w:val="Corpo"/>
        <w:spacing w:after="70" w:line="264"/>
        <w:ind w:left="425" w:hanging="425"/>
        <w:jc w:val="left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sz w:val="21"/>
          <w:szCs w:val="21"/>
        </w:rPr>
        <w:t xml:space="preserve">Il titolo è esecutivo? (Sentenza di condanna, decreto dichiarato esecutivo ex art. 647 o provvisoriamente esecutivo ex artt. 642 o 648, atto notarile, cambiale, scrittura privata autenticata per somme di danaro.)</w:t>
      </w:r>
    </w:p>
    <w:p>
      <w:pPr>
        <w:pStyle w:val="Corpo"/>
        <w:spacing w:after="70" w:line="264"/>
        <w:ind w:left="425" w:hanging="425"/>
        <w:jc w:val="left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sz w:val="21"/>
          <w:szCs w:val="21"/>
        </w:rPr>
        <w:t xml:space="preserve">Il diritto è certo, liquido ed esigibile alla data del precetto? Termini, condizioni, cauzione (art. 478)?</w:t>
      </w:r>
    </w:p>
    <w:p>
      <w:pPr>
        <w:pStyle w:val="Corpo"/>
        <w:spacing w:after="70" w:line="264"/>
        <w:ind w:left="425" w:hanging="425"/>
        <w:jc w:val="left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sz w:val="21"/>
          <w:szCs w:val="21"/>
        </w:rPr>
        <w:t xml:space="preserve">Il titolo è stato notificato alla parte personalmente? Con quale data? (Va indicata nel precetto, a pena di nullità, se la notifica è stata fatta separatamente: art. 480, co. 2.)</w:t>
      </w:r>
    </w:p>
    <w:p>
      <w:pPr>
        <w:pStyle w:val="Corpo"/>
        <w:spacing w:after="70" w:line="264"/>
        <w:ind w:left="425" w:hanging="425"/>
        <w:jc w:val="left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sz w:val="21"/>
          <w:szCs w:val="21"/>
        </w:rPr>
        <w:t xml:space="preserve">Il titolo è una scrittura privata autenticata (art. 474, co. 2, n. 2)? Allora va trascritta integralmente nel precetto (art. 474, co. 3; art. 480, co. 2) e l'ufficiale giudiziario deve certificare la corrispondenza prima della relata.</w:t>
      </w:r>
    </w:p>
    <w:p>
      <w:pPr>
        <w:pStyle w:val="Corpo"/>
        <w:spacing w:after="70" w:line="264"/>
        <w:ind w:left="425" w:hanging="425"/>
        <w:jc w:val="left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sz w:val="21"/>
          <w:szCs w:val="21"/>
        </w:rPr>
        <w:t xml:space="preserve">Per il decreto ingiuntivo: menzione del provvedimento che ha disposto l'esecutorietà (art. 654, co. 2).</w:t>
      </w:r>
    </w:p>
    <w:p>
      <w:pPr>
        <w:pStyle w:val="Corpo"/>
        <w:spacing w:after="70" w:line="264"/>
        <w:ind w:left="425" w:hanging="425"/>
        <w:jc w:val="left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sz w:val="21"/>
          <w:szCs w:val="21"/>
        </w:rPr>
        <w:t xml:space="preserve">Debitore deceduto? Eredi e termine dell'art. 477.</w:t>
      </w:r>
    </w:p>
    <w:p>
      <w:pPr>
        <w:pStyle w:val="Corpo"/>
        <w:spacing w:after="70" w:line="264"/>
        <w:ind w:left="425" w:hanging="425"/>
        <w:jc w:val="left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sz w:val="21"/>
          <w:szCs w:val="21"/>
        </w:rPr>
        <w:t xml:space="preserve">Conteggio: capitale, interessi per periodi e tassi, spese liquidate, spese successive; pagamenti parziali imputati secondo l'art. 1194 c.c.</w:t>
      </w:r>
    </w:p>
    <w:p>
      <w:pPr>
        <w:pStyle w:val="Corpo"/>
        <w:spacing w:after="70" w:line="264"/>
        <w:ind w:left="425" w:hanging="425"/>
        <w:jc w:val="left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sz w:val="21"/>
          <w:szCs w:val="21"/>
        </w:rPr>
        <w:t xml:space="preserve">Termine ad adempiere non inferiore a dieci giorni e avvertimento dell'esecuzione forzata.</w:t>
      </w:r>
    </w:p>
    <w:p>
      <w:pPr>
        <w:pStyle w:val="Corpo"/>
        <w:spacing w:after="70" w:line="264"/>
        <w:ind w:left="425" w:hanging="425"/>
        <w:jc w:val="left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sz w:val="21"/>
          <w:szCs w:val="21"/>
        </w:rPr>
        <w:t xml:space="preserve">Avvertimento sul sovraindebitamento con le parole dell'art. 480, co. 2.</w:t>
      </w:r>
    </w:p>
    <w:p>
      <w:pPr>
        <w:pStyle w:val="Corpo"/>
        <w:spacing w:after="70" w:line="264"/>
        <w:ind w:left="425" w:hanging="425"/>
        <w:jc w:val="left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sz w:val="21"/>
          <w:szCs w:val="21"/>
        </w:rPr>
        <w:t xml:space="preserve">Indicazione del giudice competente per l'esecuzione (art. 480, co. 3: fori degli artt. 26 e 26-bis).</w:t>
      </w:r>
    </w:p>
    <w:p>
      <w:pPr>
        <w:pStyle w:val="Corpo"/>
        <w:spacing w:after="70" w:line="264"/>
        <w:ind w:left="425" w:hanging="425"/>
        <w:jc w:val="left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sz w:val="21"/>
          <w:szCs w:val="21"/>
        </w:rPr>
        <w:t xml:space="preserve">Sottoscrizione del difensore con codice fiscale (art. 125); procura (in calce: art. 83, co. 3).</w:t>
      </w:r>
    </w:p>
    <w:p>
      <w:pPr>
        <w:pStyle w:val="Corpo"/>
        <w:spacing w:after="70" w:line="264"/>
        <w:ind w:left="425" w:hanging="425"/>
        <w:jc w:val="left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sz w:val="21"/>
          <w:szCs w:val="21"/>
        </w:rPr>
        <w:t xml:space="preserve">Notifica alla parte personalmente; calendario: dieci giorni, novanta giorni.</w:t>
      </w:r>
    </w:p>
    <w:p>
      <w:pPr>
        <w:pStyle w:val="Heading2"/>
      </w:pPr>
      <w:r>
        <w:rPr>
          <w:rFonts w:ascii="Georgia" w:cs="Georgia" w:eastAsia="Georgia" w:hAnsi="Georgia"/>
          <w:b/>
          <w:bCs/>
        </w:rPr>
        <w:t xml:space="preserve">7. Il modello</w:t>
      </w:r>
    </w:p>
    <w:p>
      <w:pPr>
        <w:pStyle w:val="Corpo"/>
        <w:pBdr>
          <w:left w:val="single" w:color="2F6A4A" w:sz="18" w:space="8"/>
        </w:pBdr>
        <w:shd w:fill="F5F4F0" w:color="auto" w:val="clear"/>
        <w:spacing w:after="120" w:before="40" w:line="264"/>
      </w:pPr>
      <w:r>
        <w:rPr>
          <w:rFonts w:ascii="Calibri" w:cs="Calibri" w:eastAsia="Calibri" w:hAnsi="Calibri"/>
          <w:i/>
          <w:iCs/>
          <w:color w:val="4F5654"/>
          <w:sz w:val="20"/>
          <w:szCs w:val="20"/>
        </w:rPr>
        <w:t xml:space="preserve">Il testo da compilare è nella prima parte del documento: </w:t>
      </w:r>
      <w:hyperlink w:history="1" w:anchor="modello_1">
        <w:r>
          <w:rPr>
            <w:rFonts w:ascii="Calibri" w:cs="Calibri" w:eastAsia="Calibri" w:hAnsi="Calibri"/>
            <w:b/>
            <w:bCs/>
            <w:color w:val="2F6A4A"/>
            <w:sz w:val="20"/>
            <w:szCs w:val="20"/>
            <w:u w:val="single" w:color="2F6A4A"/>
          </w:rPr>
          <w:t xml:space="preserve">«Atto di precetto»</w:t>
        </w:r>
      </w:hyperlink>
      <w:r>
        <w:rPr>
          <w:rFonts w:ascii="Calibri" w:cs="Calibri" w:eastAsia="Calibri" w:hAnsi="Calibri"/>
          <w:i/>
          <w:iCs/>
          <w:color w:val="4F5654"/>
          <w:sz w:val="20"/>
          <w:szCs w:val="20"/>
        </w:rPr>
        <w:t xml:space="preserve">.</w:t>
      </w:r>
    </w:p>
    <w:p>
      <w:pPr>
        <w:pStyle w:val="Heading2"/>
      </w:pPr>
      <w:r>
        <w:rPr>
          <w:rFonts w:ascii="Georgia" w:cs="Georgia" w:eastAsia="Georgia" w:hAnsi="Georgia"/>
          <w:b/>
          <w:bCs/>
        </w:rPr>
        <w:t xml:space="preserve">8. Note di compilazione, punto per punto</w:t>
      </w:r>
    </w:p>
    <w:p>
      <w:pPr>
        <w:pStyle w:val="Corpo"/>
        <w:spacing w:after="70" w:line="264"/>
        <w:ind w:left="425" w:hanging="425"/>
        <w:jc w:val="left"/>
      </w:pPr>
      <w:r>
        <w:rPr>
          <w:rFonts w:ascii="Calibri" w:cs="Calibri" w:eastAsia="Calibri" w:hAnsi="Calibri"/>
          <w:b/>
          <w:bCs/>
          <w:color w:val="2F5546"/>
          <w:sz w:val="21"/>
          <w:szCs w:val="21"/>
        </w:rPr>
        <w:t xml:space="preserve">1.</w:t>
      </w:r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Niente formula esecutiva.</w:t>
      </w:r>
      <w:r>
        <w:rPr>
          <w:rFonts w:ascii="Calibri" w:cs="Calibri" w:eastAsia="Calibri" w:hAnsi="Calibri"/>
          <w:sz w:val="21"/>
          <w:szCs w:val="21"/>
        </w:rPr>
        <w:t xml:space="preserve"> Dal 1° marzo 2023 il titolo vale se rilasciato «in copia attestata conforme all'originale o in duplicato informatico» (art. 475); l'esecuzione è preceduta dalla notificazione «del duplicato informatico del titolo o di sua copia attestata conforme all'originale e del precetto» (art. 479, co. 1).</w:t>
      </w:r>
    </w:p>
    <w:p>
      <w:pPr>
        <w:pStyle w:val="Corpo"/>
        <w:spacing w:after="70" w:line="264"/>
        <w:ind w:left="425" w:hanging="425"/>
        <w:jc w:val="left"/>
      </w:pPr>
      <w:r>
        <w:rPr>
          <w:rFonts w:ascii="Calibri" w:cs="Calibri" w:eastAsia="Calibri" w:hAnsi="Calibri"/>
          <w:b/>
          <w:bCs/>
          <w:color w:val="2F5546"/>
          <w:sz w:val="21"/>
          <w:szCs w:val="21"/>
        </w:rPr>
        <w:t xml:space="preserve">2.</w:t>
      </w:r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Requisiti a pena di nullità</w:t>
      </w:r>
      <w:r>
        <w:rPr>
          <w:rFonts w:ascii="Calibri" w:cs="Calibri" w:eastAsia="Calibri" w:hAnsi="Calibri"/>
          <w:sz w:val="21"/>
          <w:szCs w:val="21"/>
        </w:rPr>
        <w:t xml:space="preserve"> (art. 480, co. 2): indicazione delle parti; data della notificazione del titolo, se fatta separatamente; trascrizione integrale del titolo quando la legge la richiede (per le scritture private autenticate: art. 474, co. 3), con la certificazione dell'ufficiale giudiziario.</w:t>
      </w:r>
    </w:p>
    <w:p>
      <w:pPr>
        <w:pStyle w:val="Corpo"/>
        <w:spacing w:after="70" w:line="264"/>
        <w:ind w:left="425" w:hanging="425"/>
        <w:jc w:val="left"/>
      </w:pPr>
      <w:r>
        <w:rPr>
          <w:rFonts w:ascii="Calibri" w:cs="Calibri" w:eastAsia="Calibri" w:hAnsi="Calibri"/>
          <w:b/>
          <w:bCs/>
          <w:color w:val="2F5546"/>
          <w:sz w:val="21"/>
          <w:szCs w:val="21"/>
        </w:rPr>
        <w:t xml:space="preserve">3.</w:t>
      </w:r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L'avvertimento sul sovraindebitamento</w:t>
      </w:r>
      <w:r>
        <w:rPr>
          <w:rFonts w:ascii="Calibri" w:cs="Calibri" w:eastAsia="Calibri" w:hAnsi="Calibri"/>
          <w:sz w:val="21"/>
          <w:szCs w:val="21"/>
        </w:rPr>
        <w:t xml:space="preserve"> va trascritto con le parole del codice: «Il precetto deve altresì contenere l'avvertimento che il debitore può, con l'ausilio di un organismo di composizione della crisi o di un professionista nominato dal giudice, porre rimedio alla situazione di sovraindebitamento concludendo con i creditori un accordo di composizione della crisi o proponendo agli stessi un piano del consumatore» (art. 480, co. 2, periodo inserito dal d.l. 27 giugno 2015, n. 83). Il lessico è quello della legge 27 gennaio 2012, n. 3. Dal 15 luglio 2022 le procedure di composizione della crisi da sovraindebitamento sono regolate dal Codice della crisi d'impresa e dell'insolvenza (d.lgs. 12 gennaio 2019, n. 14, artt. 65 ss.: per il consumatore la «ristrutturazione dei debiti», art. 67), mentre la l. 3/2012 continua ad applicarsi alle domande depositate prima della sua entrata in vigore (art. 390). L'art. 480 non è stato aggiornato: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trascrivi l'avvertimento con le parole del codice</w:t>
      </w:r>
      <w:r>
        <w:rPr>
          <w:rFonts w:ascii="Calibri" w:cs="Calibri" w:eastAsia="Calibri" w:hAnsi="Calibri"/>
          <w:sz w:val="21"/>
          <w:szCs w:val="21"/>
        </w:rPr>
        <w:t xml:space="preserve">; se vuoi, aggiungi — senza sostituire — il riferimento alle procedure del Codice della crisi.</w:t>
      </w:r>
    </w:p>
    <w:p>
      <w:pPr>
        <w:pStyle w:val="Corpo"/>
        <w:spacing w:after="70" w:line="264"/>
        <w:ind w:left="425" w:hanging="425"/>
        <w:jc w:val="left"/>
      </w:pPr>
      <w:r>
        <w:rPr>
          <w:rFonts w:ascii="Calibri" w:cs="Calibri" w:eastAsia="Calibri" w:hAnsi="Calibri"/>
          <w:b/>
          <w:bCs/>
          <w:color w:val="2F5546"/>
          <w:sz w:val="21"/>
          <w:szCs w:val="21"/>
        </w:rPr>
        <w:t xml:space="preserve">4.</w:t>
      </w:r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Il giudice competente per l'esecuzione</w:t>
      </w:r>
      <w:r>
        <w:rPr>
          <w:rFonts w:ascii="Calibri" w:cs="Calibri" w:eastAsia="Calibri" w:hAnsi="Calibri"/>
          <w:sz w:val="21"/>
          <w:szCs w:val="21"/>
        </w:rPr>
        <w:t xml:space="preserve"> (art. 480, co. 3, correttivo 2024). Va indicato sempre. Se il precetto è sottoscritto dalla parte personalmente, servono anche la dichiarazione di residenza o l'elezione di domicilio nel comune del giudice, oppure una PEC da pubblici elenchi o un domicilio digitale speciale. In mancanza, «le opposizioni al precetto si propongono davanti al giudice del luogo in cui è stato notificato e le notificazioni alla parte istante si fanno presso la cancelleria del giudice stesso, salvo quanto previsto dall'articolo 149-bis». Il giudice indicato ai sensi dell'art. 480, co. 3, conta anche per le opposizioni: l'opposizione agli atti proposta prima dell'esecuzione va davanti a lui (art. 617, co. 1), e la regola sulla competenza per le opposizioni all'esecuzione (giudice del luogo dell'esecuzione) fa «salva la disposizione dell'articolo 480 terzo comma» (art. 27, co. 1).</w:t>
      </w:r>
    </w:p>
    <w:p>
      <w:pPr>
        <w:pStyle w:val="Corpo"/>
        <w:spacing w:after="70" w:line="264"/>
        <w:ind w:left="425" w:hanging="425"/>
        <w:jc w:val="left"/>
      </w:pPr>
      <w:r>
        <w:rPr>
          <w:rFonts w:ascii="Calibri" w:cs="Calibri" w:eastAsia="Calibri" w:hAnsi="Calibri"/>
          <w:b/>
          <w:bCs/>
          <w:color w:val="2F5546"/>
          <w:sz w:val="21"/>
          <w:szCs w:val="21"/>
        </w:rPr>
        <w:t xml:space="preserve">5.</w:t>
      </w:r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Decreto ingiuntivo.</w:t>
      </w:r>
      <w:r>
        <w:rPr>
          <w:rFonts w:ascii="Calibri" w:cs="Calibri" w:eastAsia="Calibri" w:hAnsi="Calibri"/>
          <w:sz w:val="21"/>
          <w:szCs w:val="21"/>
        </w:rPr>
        <w:t xml:space="preserve"> «Ai fini dell'esecuzione non occorre una nuova notificazione del decreto esecutivo; ma nel precetto deve farsi menzione del provvedimento che ha disposto l'esecutorietà» (art. 654, co. 2).</w:t>
      </w:r>
    </w:p>
    <w:p>
      <w:pPr>
        <w:pStyle w:val="Corpo"/>
        <w:spacing w:after="70" w:line="264"/>
        <w:ind w:left="425" w:hanging="425"/>
        <w:jc w:val="left"/>
      </w:pPr>
      <w:r>
        <w:rPr>
          <w:rFonts w:ascii="Calibri" w:cs="Calibri" w:eastAsia="Calibri" w:hAnsi="Calibri"/>
          <w:b/>
          <w:bCs/>
          <w:color w:val="2F5546"/>
          <w:sz w:val="21"/>
          <w:szCs w:val="21"/>
        </w:rPr>
        <w:t xml:space="preserve">6.</w:t>
      </w:r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Termine ad adempiere.</w:t>
      </w:r>
      <w:r>
        <w:rPr>
          <w:rFonts w:ascii="Calibri" w:cs="Calibri" w:eastAsia="Calibri" w:hAnsi="Calibri"/>
          <w:sz w:val="21"/>
          <w:szCs w:val="21"/>
        </w:rPr>
        <w:t xml:space="preserve"> Non meno di dieci giorni (art. 480, co. 1). Puoi indicarne uno più lungo; non più breve, salvo l'autorizzazione dell'art. 482, data con decreto in calce al precetto e trascritta dall'ufficiale giudiziario nella copia da notificare.</w:t>
      </w:r>
    </w:p>
    <w:p>
      <w:pPr>
        <w:pStyle w:val="Corpo"/>
        <w:spacing w:after="70" w:line="264"/>
        <w:ind w:left="425" w:hanging="425"/>
        <w:jc w:val="left"/>
      </w:pPr>
      <w:r>
        <w:rPr>
          <w:rFonts w:ascii="Calibri" w:cs="Calibri" w:eastAsia="Calibri" w:hAnsi="Calibri"/>
          <w:b/>
          <w:bCs/>
          <w:color w:val="2F5546"/>
          <w:sz w:val="21"/>
          <w:szCs w:val="21"/>
        </w:rPr>
        <w:t xml:space="preserve">7.</w:t>
      </w:r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Somme.</w:t>
      </w:r>
      <w:r>
        <w:rPr>
          <w:rFonts w:ascii="Calibri" w:cs="Calibri" w:eastAsia="Calibri" w:hAnsi="Calibri"/>
          <w:sz w:val="21"/>
          <w:szCs w:val="21"/>
        </w:rPr>
        <w:t xml:space="preserve"> Chiedi solo ciò che il titolo ti dà, più le spese successive. Allegare il prospetto degli interessi con periodi, tassi e fonti rende il precetto verificabile e toglie argomenti all'opposizione.</w:t>
      </w:r>
    </w:p>
    <w:p>
      <w:pPr>
        <w:pStyle w:val="Corpo"/>
        <w:spacing w:after="70" w:line="264"/>
        <w:ind w:left="425" w:hanging="425"/>
        <w:jc w:val="left"/>
      </w:pPr>
      <w:r>
        <w:rPr>
          <w:rFonts w:ascii="Calibri" w:cs="Calibri" w:eastAsia="Calibri" w:hAnsi="Calibri"/>
          <w:b/>
          <w:bCs/>
          <w:color w:val="2F5546"/>
          <w:sz w:val="21"/>
          <w:szCs w:val="21"/>
        </w:rPr>
        <w:t xml:space="preserve">8.</w:t>
      </w:r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Sottoscrizione e procura.</w:t>
      </w:r>
      <w:r>
        <w:rPr>
          <w:rFonts w:ascii="Calibri" w:cs="Calibri" w:eastAsia="Calibri" w:hAnsi="Calibri"/>
          <w:sz w:val="21"/>
          <w:szCs w:val="21"/>
        </w:rPr>
        <w:t xml:space="preserve"> Il precetto è sottoscritto a norma dell'art. 125 (art. 480, ultimo comma). La procura può essere apposta in calce o a margine del precetto (art. 83, co. 3).</w:t>
      </w:r>
    </w:p>
    <w:p>
      <w:pPr>
        <w:pStyle w:val="Corpo"/>
        <w:spacing w:after="70" w:line="264"/>
        <w:ind w:left="425" w:hanging="425"/>
        <w:jc w:val="left"/>
      </w:pPr>
      <w:r>
        <w:rPr>
          <w:rFonts w:ascii="Calibri" w:cs="Calibri" w:eastAsia="Calibri" w:hAnsi="Calibri"/>
          <w:b/>
          <w:bCs/>
          <w:color w:val="2F5546"/>
          <w:sz w:val="21"/>
          <w:szCs w:val="21"/>
        </w:rPr>
        <w:t xml:space="preserve">9.</w:t>
      </w:r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Prescrizione.</w:t>
      </w:r>
      <w:r>
        <w:rPr>
          <w:rFonts w:ascii="Calibri" w:cs="Calibri" w:eastAsia="Calibri" w:hAnsi="Calibri"/>
          <w:sz w:val="21"/>
          <w:szCs w:val="21"/>
        </w:rPr>
        <w:t xml:space="preserve"> I diritti accertati con sentenza di condanna passata in giudicato si prescrivono in dieci anni anche se soggetti a prescrizione più breve (art. 2953 c.c.); il precetto, che contiene un'intimazione di pagamento, vale come «atto che valga a costituire in mora il debitore» e interrompe la prescrizione (art. 2943, co. 4, c.c.).</w:t>
      </w:r>
    </w:p>
    <w:p>
      <w:pPr>
        <w:pStyle w:val="Heading2"/>
      </w:pPr>
      <w:r>
        <w:rPr>
          <w:rFonts w:ascii="Georgia" w:cs="Georgia" w:eastAsia="Georgia" w:hAnsi="Georgia"/>
          <w:b/>
          <w:bCs/>
        </w:rPr>
        <w:t xml:space="preserve">9. Errori frequenti e come evitarli</w:t>
      </w:r>
    </w:p>
    <w:tbl>
      <w:tblPr>
        <w:tblW w:type="dxa" w:w="9638"/>
        <w:tblBorders>
          <w:top w:val="single" w:color="D9DAD2" w:sz="4"/>
          <w:left w:val="none" w:color="FFFFFF" w:sz="0"/>
          <w:bottom w:val="single" w:color="D9DAD2" w:sz="4"/>
          <w:right w:val="none" w:color="FFFFFF" w:sz="0"/>
          <w:insideH w:val="single" w:color="D9DAD2" w:sz="4"/>
          <w:insideV w:val="none" w:color="FFFFFF" w:sz="0"/>
        </w:tblBorders>
        <w:tblLayout w:type="fixed"/>
      </w:tblPr>
      <w:tblGrid>
        <w:gridCol w:w="3699"/>
        <w:gridCol w:w="3699"/>
        <w:gridCol w:w="2240"/>
      </w:tblGrid>
      <w:tr>
        <w:trPr>
          <w:cantSplit/>
          <w:tblHeader/>
        </w:trPr>
        <w:tc>
          <w:tcPr>
            <w:tcW w:type="dxa" w:w="3699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2F554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Errore</w:t>
            </w:r>
          </w:p>
        </w:tc>
        <w:tc>
          <w:tcPr>
            <w:tcW w:type="dxa" w:w="3699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2F554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Eccezione del debitore</w:t>
            </w:r>
          </w:p>
        </w:tc>
        <w:tc>
          <w:tcPr>
            <w:tcW w:type="dxa" w:w="224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2F554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Come evitarlo</w:t>
            </w:r>
          </w:p>
        </w:tc>
      </w:tr>
      <w:tr>
        <w:trPr>
          <w:cantSplit/>
        </w:trPr>
        <w:tc>
          <w:tcPr>
            <w:tcW w:type="dxa" w:w="3699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Titolo notificato al procuratore costituito invece che alla parte</w:t>
            </w:r>
          </w:p>
        </w:tc>
        <w:tc>
          <w:tcPr>
            <w:tcW w:type="dxa" w:w="3699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nullità della notifica del titolo (art. 479, co. 2)</w:t>
            </w:r>
          </w:p>
        </w:tc>
        <w:tc>
          <w:tcPr>
            <w:tcW w:type="dxa" w:w="224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notifica alla parte personalmente</w:t>
            </w:r>
          </w:p>
        </w:tc>
      </w:tr>
      <w:tr>
        <w:trPr>
          <w:cantSplit/>
        </w:trPr>
        <w:tc>
          <w:tcPr>
            <w:tcW w:type="dxa" w:w="3699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Data di notifica del titolo omessa</w:t>
            </w:r>
          </w:p>
        </w:tc>
        <w:tc>
          <w:tcPr>
            <w:tcW w:type="dxa" w:w="3699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nullità del precetto (art. 480, co. 2)</w:t>
            </w:r>
          </w:p>
        </w:tc>
        <w:tc>
          <w:tcPr>
            <w:tcW w:type="dxa" w:w="224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indicala nelle premesse</w:t>
            </w:r>
          </w:p>
        </w:tc>
      </w:tr>
      <w:tr>
        <w:trPr>
          <w:cantSplit/>
        </w:trPr>
        <w:tc>
          <w:tcPr>
            <w:tcW w:type="dxa" w:w="3699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Avvertimento sul sovraindebitamento riscritto con il lessico del Codice della crisi al posto di quello della legge</w:t>
            </w:r>
          </w:p>
        </w:tc>
        <w:tc>
          <w:tcPr>
            <w:tcW w:type="dxa" w:w="3699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contestazione della conformità all'art. 480, co. 2 (vedi i punti incerti sulla sanzione)</w:t>
            </w:r>
          </w:p>
        </w:tc>
        <w:tc>
          <w:tcPr>
            <w:tcW w:type="dxa" w:w="224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trascrivi le parole del codice</w:t>
            </w:r>
          </w:p>
        </w:tc>
      </w:tr>
      <w:tr>
        <w:trPr>
          <w:cantSplit/>
        </w:trPr>
        <w:tc>
          <w:tcPr>
            <w:tcW w:type="dxa" w:w="3699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Giudice dell'esecuzione non indicato</w:t>
            </w:r>
          </w:p>
        </w:tc>
        <w:tc>
          <w:tcPr>
            <w:tcW w:type="dxa" w:w="3699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le opposizioni si propongono davanti al giudice del luogo di notifica (art. 480, co. 3)</w:t>
            </w:r>
          </w:p>
        </w:tc>
        <w:tc>
          <w:tcPr>
            <w:tcW w:type="dxa" w:w="224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indicalo secondo gli artt. 26 e 26-bis</w:t>
            </w:r>
          </w:p>
        </w:tc>
      </w:tr>
      <w:tr>
        <w:trPr>
          <w:cantSplit/>
        </w:trPr>
        <w:tc>
          <w:tcPr>
            <w:tcW w:type="dxa" w:w="3699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Interessi commerciali senza titolo che li riconosca, o calcolati sugli interessi</w:t>
            </w:r>
          </w:p>
        </w:tc>
        <w:tc>
          <w:tcPr>
            <w:tcW w:type="dxa" w:w="3699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opposizione all'esecuzione per la parte eccedente (art. 615)</w:t>
            </w:r>
          </w:p>
        </w:tc>
        <w:tc>
          <w:tcPr>
            <w:tcW w:type="dxa" w:w="224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segui il titolo; art. 1283 c.c.</w:t>
            </w:r>
          </w:p>
        </w:tc>
      </w:tr>
      <w:tr>
        <w:trPr>
          <w:cantSplit/>
        </w:trPr>
        <w:tc>
          <w:tcPr>
            <w:tcW w:type="dxa" w:w="3699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IVA chiesta a un creditore che la detrae</w:t>
            </w:r>
          </w:p>
        </w:tc>
        <w:tc>
          <w:tcPr>
            <w:tcW w:type="dxa" w:w="3699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contestazione frequente in opposizione</w:t>
            </w:r>
          </w:p>
        </w:tc>
        <w:tc>
          <w:tcPr>
            <w:tcW w:type="dxa" w:w="224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valuta se esporla</w:t>
            </w:r>
          </w:p>
        </w:tc>
      </w:tr>
      <w:tr>
        <w:trPr>
          <w:cantSplit/>
        </w:trPr>
        <w:tc>
          <w:tcPr>
            <w:tcW w:type="dxa" w:w="3699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Pignoramento al 91° giorno</w:t>
            </w:r>
          </w:p>
        </w:tc>
        <w:tc>
          <w:tcPr>
            <w:tcW w:type="dxa" w:w="3699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precetto inefficace (art. 481)</w:t>
            </w:r>
          </w:p>
        </w:tc>
        <w:tc>
          <w:tcPr>
            <w:tcW w:type="dxa" w:w="224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in agenda la scadenza dei 90 giorni</w:t>
            </w:r>
          </w:p>
        </w:tc>
      </w:tr>
      <w:tr>
        <w:trPr>
          <w:cantSplit/>
        </w:trPr>
        <w:tc>
          <w:tcPr>
            <w:tcW w:type="dxa" w:w="3699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Precetto agli eredi notificato insieme al titolo</w:t>
            </w:r>
          </w:p>
        </w:tc>
        <w:tc>
          <w:tcPr>
            <w:tcW w:type="dxa" w:w="3699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violazione dell'art. 477</w:t>
            </w:r>
          </w:p>
        </w:tc>
        <w:tc>
          <w:tcPr>
            <w:tcW w:type="dxa" w:w="224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aspetta dieci giorni dalla notifica del titolo</w:t>
            </w:r>
          </w:p>
        </w:tc>
      </w:tr>
      <w:tr>
        <w:trPr>
          <w:cantSplit/>
        </w:trPr>
        <w:tc>
          <w:tcPr>
            <w:tcW w:type="dxa" w:w="3699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«Titolo munito di formula esecutiva»</w:t>
            </w:r>
          </w:p>
        </w:tc>
        <w:tc>
          <w:tcPr>
            <w:tcW w:type="dxa" w:w="3699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nessuna nullità in sé, ma è il segnale di un modello vecchio: controlla di aver applicato gli artt. 475 e 479 vigenti</w:t>
            </w:r>
          </w:p>
        </w:tc>
        <w:tc>
          <w:tcPr>
            <w:tcW w:type="dxa" w:w="224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usa questo modello</w:t>
            </w:r>
          </w:p>
        </w:tc>
      </w:tr>
    </w:tbl>
    <w:p>
      <w:pPr>
        <w:spacing w:after="0" w:before="0" w:line="120"/>
      </w:pPr>
    </w:p>
    <w:p>
      <w:pPr>
        <w:pStyle w:val="Heading2"/>
      </w:pPr>
      <w:r>
        <w:rPr>
          <w:rFonts w:ascii="Georgia" w:cs="Georgia" w:eastAsia="Georgia" w:hAnsi="Georgia"/>
          <w:b/>
          <w:bCs/>
        </w:rPr>
        <w:t xml:space="preserve">10. Varianti e casi particolari</w:t>
      </w:r>
    </w:p>
    <w:p>
      <w:pPr>
        <w:pStyle w:val="Corpo"/>
        <w:numPr>
          <w:ilvl w:val="0"/>
          <w:numId w:val="3"/>
        </w:numPr>
        <w:spacing w:after="60" w:line="264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Più debitori.</w:t>
      </w:r>
      <w:r>
        <w:rPr>
          <w:rFonts w:ascii="Calibri" w:cs="Calibri" w:eastAsia="Calibri" w:hAnsi="Calibri"/>
          <w:sz w:val="21"/>
          <w:szCs w:val="21"/>
        </w:rPr>
        <w:t xml:space="preserve"> Un precetto per ciascuno, o un unico atto notificato a ciascuno personalmente; per ognuno corrono i propri termini.</w:t>
      </w:r>
    </w:p>
    <w:p>
      <w:pPr>
        <w:pStyle w:val="Corpo"/>
        <w:numPr>
          <w:ilvl w:val="0"/>
          <w:numId w:val="3"/>
        </w:numPr>
        <w:spacing w:after="60" w:line="264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Esecuzione per consegna o rilascio.</w:t>
      </w:r>
      <w:r>
        <w:rPr>
          <w:rFonts w:ascii="Calibri" w:cs="Calibri" w:eastAsia="Calibri" w:hAnsi="Calibri"/>
          <w:sz w:val="21"/>
          <w:szCs w:val="21"/>
        </w:rPr>
        <w:t xml:space="preserve"> Solo con i titoli dei nn. 1 e 3 dell'art. 474 (co. 3); il precetto intima la consegna o il rilascio del bene, descritto in modo puntuale.</w:t>
      </w:r>
    </w:p>
    <w:p>
      <w:pPr>
        <w:pStyle w:val="Corpo"/>
        <w:numPr>
          <w:ilvl w:val="0"/>
          <w:numId w:val="3"/>
        </w:numPr>
        <w:spacing w:after="60" w:line="264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Decreto ingiuntivo provvisoriamente esecutivo ex art. 642, primo comma</w:t>
      </w:r>
      <w:r>
        <w:rPr>
          <w:rFonts w:ascii="Calibri" w:cs="Calibri" w:eastAsia="Calibri" w:hAnsi="Calibri"/>
          <w:sz w:val="21"/>
          <w:szCs w:val="21"/>
        </w:rPr>
        <w:t xml:space="preserve">, con autorizzazione a procedere senza il termine dell'art. 482 (art. 642, co. 3): indicalo nel precetto e procedi subito.</w:t>
      </w:r>
    </w:p>
    <w:p>
      <w:pPr>
        <w:pStyle w:val="Corpo"/>
        <w:numPr>
          <w:ilvl w:val="0"/>
          <w:numId w:val="3"/>
        </w:numPr>
        <w:spacing w:after="60" w:line="264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Debitore consumatore con titolo monitorio non opposto.</w:t>
      </w:r>
      <w:r>
        <w:rPr>
          <w:rFonts w:ascii="Calibri" w:cs="Calibri" w:eastAsia="Calibri" w:hAnsi="Calibri"/>
          <w:sz w:val="21"/>
          <w:szCs w:val="21"/>
        </w:rPr>
        <w:t xml:space="preserve"> Dopo la sentenza della Corte di giustizia del 17 maggio 2022 (Grande Sezione, cause riunite C-693/19 e C-831/19), il giudice dell'esecuzione può controllare il carattere abusivo delle clausole del contratto alla base del decreto non opposto: prima di procedere, rileggi il contratto con gli occhi del giudice dell'esecuzione.</w:t>
      </w:r>
    </w:p>
    <w:p>
      <w:pPr>
        <w:pStyle w:val="Corpo"/>
        <w:numPr>
          <w:ilvl w:val="0"/>
          <w:numId w:val="3"/>
        </w:numPr>
        <w:spacing w:after="60" w:line="264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Opposizione del debitore.</w:t>
      </w:r>
      <w:r>
        <w:rPr>
          <w:rFonts w:ascii="Calibri" w:cs="Calibri" w:eastAsia="Calibri" w:hAnsi="Calibri"/>
          <w:sz w:val="21"/>
          <w:szCs w:val="21"/>
        </w:rPr>
        <w:t xml:space="preserve"> Se contesta il diritto a procedere prima dell'esecuzione, propone opposizione al precetto con citazione e può chiedere al giudice, per gravi motivi, la sospensione dell'efficacia esecutiva del titolo, limitata alla parte contestata se la contestazione è parziale (art. 615, co. 1). Il termine di efficacia del precetto resta sospeso (art. 481, co. 2).</w:t>
      </w:r>
    </w:p>
    <w:p>
      <w:pPr>
        <w:pStyle w:val="Heading2"/>
      </w:pPr>
      <w:r>
        <w:rPr>
          <w:rFonts w:ascii="Georgia" w:cs="Georgia" w:eastAsia="Georgia" w:hAnsi="Georgia"/>
          <w:b/>
          <w:bCs/>
        </w:rPr>
        <w:t xml:space="preserve">11. Punti incerti dichiarati</w:t>
      </w:r>
    </w:p>
    <w:p>
      <w:pPr>
        <w:pStyle w:val="Corpo"/>
        <w:spacing w:after="70" w:line="264"/>
        <w:ind w:left="425" w:hanging="425"/>
        <w:jc w:val="left"/>
      </w:pPr>
      <w:r>
        <w:rPr>
          <w:rFonts w:ascii="Calibri" w:cs="Calibri" w:eastAsia="Calibri" w:hAnsi="Calibri"/>
          <w:b/>
          <w:bCs/>
          <w:color w:val="2F5546"/>
          <w:sz w:val="21"/>
          <w:szCs w:val="21"/>
        </w:rPr>
        <w:t xml:space="preserve">1.</w:t>
      </w:r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Sanzione per l'omissione dell'avvertimento sul sovraindebitamento.</w:t>
      </w:r>
      <w:r>
        <w:rPr>
          <w:rFonts w:ascii="Calibri" w:cs="Calibri" w:eastAsia="Calibri" w:hAnsi="Calibri"/>
          <w:sz w:val="21"/>
          <w:szCs w:val="21"/>
        </w:rPr>
        <w:t xml:space="preserve"> L'art. 480, co. 2, prevede la nullità per l'indicazione delle parti, della data di notifica del titolo e per la trascrizione integrale; l'avvertimento è previsto in un periodo successivo («deve altresì contenere»). Se la nullità si estenda all'avvertimento è questione su cui le opinioni non sono uniformi: inseriscilo sempre.</w:t>
      </w:r>
    </w:p>
    <w:p>
      <w:pPr>
        <w:pStyle w:val="Corpo"/>
        <w:spacing w:after="70" w:line="264"/>
        <w:ind w:left="425" w:hanging="425"/>
        <w:jc w:val="left"/>
      </w:pPr>
      <w:r>
        <w:rPr>
          <w:rFonts w:ascii="Calibri" w:cs="Calibri" w:eastAsia="Calibri" w:hAnsi="Calibri"/>
          <w:b/>
          <w:bCs/>
          <w:color w:val="2F5546"/>
          <w:sz w:val="21"/>
          <w:szCs w:val="21"/>
        </w:rPr>
        <w:t xml:space="preserve">2.</w:t>
      </w:r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Base di calcolo dell'IVA sulle spese legali.</w:t>
      </w:r>
      <w:r>
        <w:rPr>
          <w:rFonts w:ascii="Calibri" w:cs="Calibri" w:eastAsia="Calibri" w:hAnsi="Calibri"/>
          <w:sz w:val="21"/>
          <w:szCs w:val="21"/>
        </w:rPr>
        <w:t xml:space="preserve"> L'art. 11 l. 576/1980 stabilisce che il contributo integrativo «non è soggetto all'IRPEF né all'IVA»; la composizione dell'imponibile IVA nella fattura del difensore va verificata secondo la prassi fiscale. Per questo l'esempio indica il totale al netto dell'IVA.</w:t>
      </w:r>
    </w:p>
    <w:p>
      <w:pPr>
        <w:pStyle w:val="Corpo"/>
        <w:spacing w:after="70" w:line="264"/>
        <w:ind w:left="425" w:hanging="425"/>
        <w:jc w:val="left"/>
      </w:pPr>
      <w:r>
        <w:rPr>
          <w:rFonts w:ascii="Calibri" w:cs="Calibri" w:eastAsia="Calibri" w:hAnsi="Calibri"/>
          <w:b/>
          <w:bCs/>
          <w:color w:val="2F5546"/>
          <w:sz w:val="21"/>
          <w:szCs w:val="21"/>
        </w:rPr>
        <w:t xml:space="preserve">3.</w:t>
      </w:r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Misura del contributo integrativo (4%)</w:t>
      </w:r>
      <w:r>
        <w:rPr>
          <w:rFonts w:ascii="Calibri" w:cs="Calibri" w:eastAsia="Calibri" w:hAnsi="Calibri"/>
          <w:sz w:val="21"/>
          <w:szCs w:val="21"/>
        </w:rPr>
        <w:t xml:space="preserve">: verificata solo su fonti secondarie (regolamentazione della Cassa forense).</w:t>
      </w:r>
    </w:p>
    <w:p>
      <w:pPr>
        <w:pStyle w:val="Corpo"/>
        <w:spacing w:after="70" w:line="264"/>
        <w:ind w:left="425" w:hanging="425"/>
        <w:jc w:val="left"/>
      </w:pPr>
      <w:r>
        <w:rPr>
          <w:rFonts w:ascii="Calibri" w:cs="Calibri" w:eastAsia="Calibri" w:hAnsi="Calibri"/>
          <w:b/>
          <w:bCs/>
          <w:color w:val="2F5546"/>
          <w:sz w:val="21"/>
          <w:szCs w:val="21"/>
        </w:rPr>
        <w:t xml:space="preserve">4.</w:t>
      </w:r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Compenso per il precetto</w:t>
      </w:r>
      <w:r>
        <w:rPr>
          <w:rFonts w:ascii="Calibri" w:cs="Calibri" w:eastAsia="Calibri" w:hAnsi="Calibri"/>
          <w:sz w:val="21"/>
          <w:szCs w:val="21"/>
        </w:rPr>
        <w:t xml:space="preserve">: l'importo dell'esempio è ipotetico; va determinato sui parametri delle tabelle allegate al d.m. 55/2014 nel testo aggiornato (d.m. 147/2022), che non sono state rilette in questa sede.</w:t>
      </w:r>
    </w:p>
    <w:p>
      <w:pPr>
        <w:pStyle w:val="Corpo"/>
        <w:spacing w:after="70" w:line="264"/>
        <w:ind w:left="425" w:hanging="425"/>
        <w:jc w:val="left"/>
      </w:pPr>
      <w:r>
        <w:rPr>
          <w:rFonts w:ascii="Calibri" w:cs="Calibri" w:eastAsia="Calibri" w:hAnsi="Calibri"/>
          <w:b/>
          <w:bCs/>
          <w:color w:val="2F5546"/>
          <w:sz w:val="21"/>
          <w:szCs w:val="21"/>
        </w:rPr>
        <w:t xml:space="preserve">5.</w:t>
      </w:r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Sospensione feriale e art. 481.</w:t>
      </w:r>
      <w:r>
        <w:rPr>
          <w:rFonts w:ascii="Calibri" w:cs="Calibri" w:eastAsia="Calibri" w:hAnsi="Calibri"/>
          <w:sz w:val="21"/>
          <w:szCs w:val="21"/>
        </w:rPr>
        <w:t xml:space="preserve"> Non contarci: costruisci il calendario fuori da agosto o anticipa.</w:t>
      </w:r>
    </w:p>
    <w:p>
      <w:pPr>
        <w:pStyle w:val="Corpo"/>
        <w:spacing w:after="70" w:line="264"/>
        <w:ind w:left="425" w:hanging="425"/>
        <w:jc w:val="left"/>
      </w:pPr>
      <w:r>
        <w:rPr>
          <w:rFonts w:ascii="Calibri" w:cs="Calibri" w:eastAsia="Calibri" w:hAnsi="Calibri"/>
          <w:b/>
          <w:bCs/>
          <w:color w:val="2F5546"/>
          <w:sz w:val="21"/>
          <w:szCs w:val="21"/>
        </w:rPr>
        <w:t xml:space="preserve">6.</w:t>
      </w:r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Copia attestata conforme del titolo estratta dal difensore</w:t>
      </w:r>
      <w:r>
        <w:rPr>
          <w:rFonts w:ascii="Calibri" w:cs="Calibri" w:eastAsia="Calibri" w:hAnsi="Calibri"/>
          <w:sz w:val="21"/>
          <w:szCs w:val="21"/>
        </w:rPr>
        <w:t xml:space="preserve">: l'art. 475 non indica chi attesta; il formulario si fonda sull'art. 196-octies disp. att. Verifica la prassi dell'ufficio.</w:t>
      </w:r>
    </w:p>
    <w:p>
      <w:pPr>
        <w:pStyle w:val="Corpo"/>
        <w:spacing w:after="70" w:line="264"/>
        <w:ind w:left="425" w:hanging="425"/>
        <w:jc w:val="left"/>
      </w:pPr>
      <w:r>
        <w:rPr>
          <w:rFonts w:ascii="Calibri" w:cs="Calibri" w:eastAsia="Calibri" w:hAnsi="Calibri"/>
          <w:b/>
          <w:bCs/>
          <w:color w:val="2F5546"/>
          <w:sz w:val="21"/>
          <w:szCs w:val="21"/>
        </w:rPr>
        <w:t xml:space="preserve">7.</w:t>
      </w:r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Aliquota IVA dal 2027</w:t>
      </w:r>
      <w:r>
        <w:rPr>
          <w:rFonts w:ascii="Calibri" w:cs="Calibri" w:eastAsia="Calibri" w:hAnsi="Calibri"/>
          <w:sz w:val="21"/>
          <w:szCs w:val="21"/>
        </w:rPr>
        <w:t xml:space="preserve">: da verificare nel testo unico IVA (d.lgs. 10/2026).</w:t>
      </w:r>
    </w:p>
    <w:p>
      <w:pPr>
        <w:pBdr>
          <w:bottom w:val="single" w:color="D9DAD2" w:sz="6" w:space="1"/>
        </w:pBdr>
        <w:spacing w:after="80" w:before="200"/>
      </w:pPr>
    </w:p>
    <w:p>
      <w:pPr>
        <w:pStyle w:val="Corpo"/>
        <w:spacing w:after="0" w:before="120" w:line="264"/>
        <w:jc w:val="left"/>
      </w:pPr>
      <w:r>
        <w:rPr>
          <w:rFonts w:ascii="Calibri" w:cs="Calibri" w:eastAsia="Calibri" w:hAnsi="Calibri"/>
          <w:i/>
          <w:iCs/>
          <w:color w:val="7A817E"/>
          <w:sz w:val="17"/>
          <w:szCs w:val="17"/>
        </w:rPr>
        <w:t xml:space="preserve">Aggiornato al 18/10/2026 · norme verificate su Normattiva (testo vigente), Gazzetta Ufficiale, EUR-Lex e corpus di Chiostro il 18/10/2026</w:t>
      </w:r>
    </w:p>
    <w:sectPr>
      <w:footerReference w:type="default" r:id="rId8"/>
      <w:type w:val="nextPage"/>
      <w:pgSz w:w="11906" w:h="16838" w:orient="portrait"/>
      <w:pgMar w:top="1134" w:right="1134" w:bottom="1247" w:left="1134" w:header="624" w:footer="62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Corpo"/>
      <w:pBdr>
        <w:top w:val="single" w:color="D9DAD2" w:sz="4" w:space="6"/>
      </w:pBdr>
      <w:tabs>
        <w:tab w:val="right" w:pos="9072"/>
      </w:tabs>
      <w:spacing w:after="0" w:before="0" w:line="240"/>
    </w:pPr>
    <w:r>
      <w:rPr>
        <w:rFonts w:ascii="Calibri" w:cs="Calibri" w:eastAsia="Calibri" w:hAnsi="Calibri"/>
        <w:color w:val="7A817E"/>
        <w:sz w:val="16"/>
        <w:szCs w:val="16"/>
      </w:rPr>
      <w:t xml:space="preserve">Formulario Chiostro — aggiornato al 18/10/2026 — chiostro.legal/formulari</w:t>
    </w:r>
    <w:r>
      <w:rPr>
        <w:rFonts w:ascii="Calibri" w:cs="Calibri" w:eastAsia="Calibri" w:hAnsi="Calibri"/>
        <w:sz w:val="16"/>
        <w:szCs w:val="16"/>
      </w:rPr>
      <w:tab/>
    </w:r>
    <w:r>
      <w:rPr>
        <w:rFonts w:ascii="Calibri" w:cs="Calibri" w:eastAsia="Calibri" w:hAnsi="Calibri"/>
        <w:color w:val="7A817E"/>
        <w:sz w:val="16"/>
        <w:szCs w:val="16"/>
      </w:rPr>
      <w:t xml:space="preserve">Pagina </w:t>
      <w:fldChar w:fldCharType="begin"/>
      <w:instrText xml:space="preserve">PAGE</w:instrText>
      <w:fldChar w:fldCharType="separate"/>
      <w:fldChar w:fldCharType="end"/>
      <w:t xml:space="preserve"> di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Corpo"/>
      <w:pBdr>
        <w:top w:val="single" w:color="D9DAD2" w:sz="4" w:space="6"/>
      </w:pBdr>
      <w:tabs>
        <w:tab w:val="right" w:pos="9638"/>
      </w:tabs>
      <w:spacing w:after="0" w:before="0" w:line="240"/>
    </w:pPr>
    <w:r>
      <w:rPr>
        <w:rFonts w:ascii="Calibri" w:cs="Calibri" w:eastAsia="Calibri" w:hAnsi="Calibri"/>
        <w:color w:val="7A817E"/>
        <w:sz w:val="16"/>
        <w:szCs w:val="16"/>
      </w:rPr>
      <w:t xml:space="preserve">Formulario Chiostro — aggiornato al 18/10/2026 — chiostro.legal/formulari</w:t>
    </w:r>
    <w:r>
      <w:rPr>
        <w:rFonts w:ascii="Calibri" w:cs="Calibri" w:eastAsia="Calibri" w:hAnsi="Calibri"/>
        <w:sz w:val="16"/>
        <w:szCs w:val="16"/>
      </w:rPr>
      <w:tab/>
    </w:r>
    <w:r>
      <w:rPr>
        <w:rFonts w:ascii="Calibri" w:cs="Calibri" w:eastAsia="Calibri" w:hAnsi="Calibri"/>
        <w:color w:val="7A817E"/>
        <w:sz w:val="16"/>
        <w:szCs w:val="16"/>
      </w:rPr>
      <w:t xml:space="preserve">Pagina </w:t>
      <w:fldChar w:fldCharType="begin"/>
      <w:instrText xml:space="preserve">PAGE</w:instrText>
      <w:fldChar w:fldCharType="separate"/>
      <w:fldChar w:fldCharType="end"/>
      <w:t xml:space="preserve"> di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567"/>
      </w:pPr>
      <w:rPr>
        <w:rFonts w:ascii="Times New Roman" w:cs="Times New Roman" w:eastAsia="Times New Roman" w:hAnsi="Times New Roman"/>
        <w:sz w:val="24"/>
        <w:szCs w:val="24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567" w:hanging="340"/>
      </w:pPr>
      <w:rPr>
        <w:rFonts w:ascii="Times New Roman" w:cs="Times New Roman" w:eastAsia="Times New Roman" w:hAnsi="Times New Roman"/>
        <w:sz w:val="24"/>
        <w:szCs w:val="24"/>
      </w:r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5" w:hanging="255"/>
      </w:pPr>
      <w:rPr>
        <w:rFonts w:ascii="Calibri" w:cs="Calibri" w:eastAsia="Calibri" w:hAnsi="Calibri"/>
        <w:color w:val="2F5546"/>
      </w:rPr>
    </w:lvl>
    <w:lvl w:ilvl="1" w15:tentative="1">
      <w:start w:val="1"/>
      <w:numFmt w:val="bullet"/>
      <w:lvlText w:val="–"/>
      <w:lvlJc w:val="left"/>
      <w:pPr>
        <w:ind w:left="794" w:hanging="255"/>
      </w:pPr>
      <w:rPr>
        <w:rFonts w:ascii="Calibri" w:cs="Calibri" w:eastAsia="Calibri" w:hAnsi="Calibri"/>
        <w:color w:val="4F5654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it-IT" w:eastAsia="it-IT" w:bidi="ar-SA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tto">
    <w:name w:val="Atto"/>
    <w:basedOn w:val="Normal"/>
    <w:qFormat/>
    <w:pPr>
      <w:spacing w:after="120" w:line="360"/>
      <w:jc w:val="both"/>
    </w:pPr>
    <w:rPr>
      <w:rFonts w:ascii="Times New Roman" w:cs="Times New Roman" w:eastAsia="Times New Roman" w:hAnsi="Times New Roman"/>
      <w:sz w:val="24"/>
      <w:szCs w:val="24"/>
    </w:rPr>
  </w:style>
  <w:style w:type="paragraph" w:styleId="AttoRiquadro">
    <w:name w:val="Atto riquadro"/>
    <w:basedOn w:val="Normal"/>
    <w:pPr>
      <w:spacing w:after="60" w:line="276"/>
    </w:pPr>
    <w:rPr>
      <w:rFonts w:ascii="Times New Roman" w:cs="Times New Roman" w:eastAsia="Times New Roman" w:hAnsi="Times New Roman"/>
      <w:sz w:val="22"/>
      <w:szCs w:val="22"/>
    </w:rPr>
  </w:style>
  <w:style w:type="paragraph" w:styleId="DidascaliaVariante">
    <w:name w:val="Didascalia variante"/>
    <w:basedOn w:val="Normal"/>
    <w:pPr>
      <w:spacing w:after="80" w:line="240"/>
    </w:pPr>
    <w:rPr>
      <w:rFonts w:ascii="Calibri" w:cs="Calibri" w:eastAsia="Calibri" w:hAnsi="Calibri"/>
      <w:b/>
      <w:bCs/>
      <w:color w:val="4F5654"/>
      <w:sz w:val="15"/>
      <w:szCs w:val="15"/>
    </w:rPr>
  </w:style>
  <w:style w:type="paragraph" w:styleId="NotaTitolo">
    <w:name w:val="Nota in testa: titolo"/>
    <w:basedOn w:val="Normal"/>
    <w:pPr>
      <w:spacing w:after="20" w:line="240"/>
    </w:pPr>
    <w:rPr>
      <w:rFonts w:ascii="Calibri" w:cs="Calibri" w:eastAsia="Calibri" w:hAnsi="Calibri"/>
      <w:color w:val="7A817E"/>
      <w:sz w:val="16"/>
      <w:szCs w:val="16"/>
    </w:rPr>
  </w:style>
  <w:style w:type="paragraph" w:styleId="NotaTesta">
    <w:name w:val="Nota in testa"/>
    <w:basedOn w:val="Normal"/>
    <w:pPr>
      <w:spacing w:after="20" w:line="240"/>
    </w:pPr>
    <w:rPr>
      <w:rFonts w:ascii="Calibri" w:cs="Calibri" w:eastAsia="Calibri" w:hAnsi="Calibri"/>
      <w:color w:val="7A817E"/>
      <w:sz w:val="16"/>
      <w:szCs w:val="16"/>
    </w:rPr>
  </w:style>
  <w:style w:type="paragraph" w:styleId="Corpo">
    <w:name w:val="Corpo istruzioni"/>
    <w:basedOn w:val="Normal"/>
    <w:qFormat/>
    <w:pPr>
      <w:spacing w:after="100" w:line="264"/>
    </w:pPr>
    <w:rPr>
      <w:rFonts w:ascii="Calibri" w:cs="Calibri" w:eastAsia="Calibri" w:hAnsi="Calibri"/>
      <w:color w:val="16191A"/>
      <w:sz w:val="21"/>
      <w:szCs w:val="21"/>
    </w:rPr>
  </w:style>
  <w:style w:type="paragraph" w:styleId="Tabella">
    <w:name w:val="Testo tabella"/>
    <w:basedOn w:val="Normal"/>
    <w:pPr>
      <w:spacing w:after="0" w:line="252"/>
    </w:pPr>
    <w:rPr>
      <w:rFonts w:ascii="Calibri" w:cs="Calibri" w:eastAsia="Calibri" w:hAnsi="Calibri"/>
      <w:color w:val="16191A"/>
      <w:sz w:val="18"/>
      <w:szCs w:val="18"/>
    </w:rPr>
  </w:style>
  <w:style w:type="paragraph" w:styleId="ListParagraph">
    <w:name w:val="List Paragraph"/>
    <w:basedOn w:val="Normal"/>
    <w:qFormat/>
    <w:pPr>
      <w:spacing w:after="60" w:line="264"/>
    </w:pPr>
    <w:rPr>
      <w:rFonts w:ascii="Calibri" w:cs="Calibri" w:eastAsia="Calibri" w:hAnsi="Calibri"/>
      <w:sz w:val="21"/>
      <w:szCs w:val="21"/>
    </w:rPr>
  </w:style>
  <w:style w:type="paragraph" w:styleId="Title">
    <w:name w:val="Title"/>
    <w:basedOn w:val="Normal"/>
    <w:next w:val="Normal"/>
    <w:qFormat/>
    <w:pPr>
      <w:spacing w:after="100"/>
    </w:pPr>
    <w:rPr>
      <w:rFonts w:ascii="Georgia" w:cs="Georgia" w:eastAsia="Georgia" w:hAnsi="Georgia"/>
      <w:b/>
      <w:bCs/>
      <w:color w:val="16191A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140" w:before="60" w:line="276"/>
    </w:pPr>
    <w:rPr>
      <w:rFonts w:ascii="Georgia" w:cs="Georgia" w:eastAsia="Georgia" w:hAnsi="Georgia"/>
      <w:color w:val="16191A"/>
      <w:sz w:val="32"/>
      <w:szCs w:val="32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Georgia" w:cs="Georgia" w:eastAsia="Georgia" w:hAnsi="Georgia"/>
      <w:b/>
      <w:bCs/>
      <w:color w:val="2F5546"/>
      <w:sz w:val="48"/>
      <w:szCs w:val="48"/>
    </w:rPr>
  </w:style>
  <w:style w:type="paragraph" w:styleId="Heading2">
    <w:name w:val="heading 2"/>
    <w:basedOn w:val="Normal"/>
    <w:next w:val="Corpo"/>
    <w:qFormat/>
    <w:pPr>
      <w:keepNext/>
      <w:pBdr>
        <w:bottom w:val="single" w:color="D9DAD2" w:sz="4" w:space="3"/>
      </w:pBdr>
      <w:spacing w:after="120" w:before="360"/>
      <w:outlineLvl w:val="1"/>
    </w:pPr>
    <w:rPr>
      <w:rFonts w:ascii="Georgia" w:cs="Georgia" w:eastAsia="Georgia" w:hAnsi="Georgia"/>
      <w:b/>
      <w:bCs/>
      <w:color w:val="2F5546"/>
      <w:sz w:val="28"/>
      <w:szCs w:val="28"/>
    </w:rPr>
  </w:style>
  <w:style w:type="paragraph" w:styleId="Heading3">
    <w:name w:val="heading 3"/>
    <w:basedOn w:val="Normal"/>
    <w:next w:val="Corpo"/>
    <w:qFormat/>
    <w:pPr>
      <w:keepNext/>
      <w:spacing w:after="80" w:before="240"/>
      <w:outlineLvl w:val="2"/>
    </w:pPr>
    <w:rPr>
      <w:rFonts w:ascii="Calibri" w:cs="Calibri" w:eastAsia="Calibri" w:hAnsi="Calibri"/>
      <w:b/>
      <w:bCs/>
      <w:color w:val="16191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7gbh70z7h8cqmeuaear55" Type="http://schemas.openxmlformats.org/officeDocument/2006/relationships/hyperlink" Target="https://www.normattiva.it/uri-res/N2Ls?urn:nir:stato:regio.decreto:1940-10-28;1443:1~art474!vig=" TargetMode="External"/><Relationship Id="rIdtncc-aof-wob3k9o1ot6w" Type="http://schemas.openxmlformats.org/officeDocument/2006/relationships/hyperlink" Target="https://www.normattiva.it/uri-res/N2Ls?urn:nir:stato:regio.decreto:1940-10-28;1443:1~art475!vig=" TargetMode="External"/><Relationship Id="rIdzdjexdymao-pk2g7y_2mj" Type="http://schemas.openxmlformats.org/officeDocument/2006/relationships/hyperlink" Target="https://www.normattiva.it/uri-res/N2Ls?urn:nir:stato:regio.decreto:1940-10-28;1443:1~art476!vig=" TargetMode="External"/><Relationship Id="rIdnygqcnkgfxasiglufvuwf" Type="http://schemas.openxmlformats.org/officeDocument/2006/relationships/hyperlink" Target="https://www.normattiva.it/uri-res/N2Ls?urn:nir:stato:regio.decreto:1940-10-28;1443:1~art477!vig=" TargetMode="External"/><Relationship Id="rIdxso9asdlmgq60ibvxilwn" Type="http://schemas.openxmlformats.org/officeDocument/2006/relationships/hyperlink" Target="https://www.normattiva.it/uri-res/N2Ls?urn:nir:stato:regio.decreto:1940-10-28;1443:1~art478!vig=" TargetMode="External"/><Relationship Id="rIdpeenp1e51l1somy6qedye" Type="http://schemas.openxmlformats.org/officeDocument/2006/relationships/hyperlink" Target="https://www.normattiva.it/uri-res/N2Ls?urn:nir:stato:regio.decreto:1940-10-28;1443:1~art479!vig=" TargetMode="External"/><Relationship Id="rIdckll1ibmd0ria783x6tad" Type="http://schemas.openxmlformats.org/officeDocument/2006/relationships/hyperlink" Target="https://www.normattiva.it/uri-res/N2Ls?urn:nir:stato:regio.decreto:1940-10-28;1443:1~art480!vig=" TargetMode="External"/><Relationship Id="rIdmisztscvc-fbdvblie4pu" Type="http://schemas.openxmlformats.org/officeDocument/2006/relationships/hyperlink" Target="https://www.normattiva.it/uri-res/N2Ls?urn:nir:stato:regio.decreto:1940-10-28;1443:1~art481!vig=" TargetMode="External"/><Relationship Id="rIdvejsv3txinv0teupchpqq" Type="http://schemas.openxmlformats.org/officeDocument/2006/relationships/hyperlink" Target="https://www.normattiva.it/uri-res/N2Ls?urn:nir:stato:regio.decreto:1940-10-28;1443:1~art482!vig=" TargetMode="External"/><Relationship Id="rId3yiuqow4bemexp0w9rxex" Type="http://schemas.openxmlformats.org/officeDocument/2006/relationships/hyperlink" Target="https://www.normattiva.it/uri-res/N2Ls?urn:nir:stato:regio.decreto:1940-10-28;1443:1~art654!vig=" TargetMode="External"/><Relationship Id="rId1qlol-mw3o-qxb1pl1bgk" Type="http://schemas.openxmlformats.org/officeDocument/2006/relationships/hyperlink" Target="https://www.normattiva.it/uri-res/N2Ls?urn:nir:stato:regio.decreto:1940-10-28;1443:1~art125!vig=" TargetMode="External"/><Relationship Id="rId_72pwifdig4vqmtpwd0ed" Type="http://schemas.openxmlformats.org/officeDocument/2006/relationships/hyperlink" Target="https://www.normattiva.it/uri-res/N2Ls?urn:nir:stato:regio.decreto:1940-10-28;1443:1~art83!vig=" TargetMode="External"/><Relationship Id="rIdyaghfp0uor1ifroxps6wb" Type="http://schemas.openxmlformats.org/officeDocument/2006/relationships/hyperlink" Target="https://www.normattiva.it/uri-res/N2Ls?urn:nir:stato:regio.decreto:1940-10-28;1443:1~art91!vig=" TargetMode="External"/><Relationship Id="rIditxpae7elvualwsr0t2zo" Type="http://schemas.openxmlformats.org/officeDocument/2006/relationships/hyperlink" Target="https://www.normattiva.it/uri-res/N2Ls?urn:nir:stato:regio.decreto:1940-10-28;1443:1~art95!vig=" TargetMode="External"/><Relationship Id="rId1pkd47f8sezxuzmthsv4i" Type="http://schemas.openxmlformats.org/officeDocument/2006/relationships/hyperlink" Target="https://www.normattiva.it/uri-res/N2Ls?urn:nir:stato:regio.decreto:1940-10-28;1443:1~art26!vig=" TargetMode="External"/><Relationship Id="rIdkwteezi9xk_hr7tdqqvvh" Type="http://schemas.openxmlformats.org/officeDocument/2006/relationships/hyperlink" Target="https://www.normattiva.it/uri-res/N2Ls?urn:nir:stato:regio.decreto:1940-10-28;1443:1~art26bis!vig=" TargetMode="External"/><Relationship Id="rIdklqiahzyuhyrw1nyuztcn" Type="http://schemas.openxmlformats.org/officeDocument/2006/relationships/hyperlink" Target="https://www.normattiva.it/uri-res/N2Ls?urn:nir:stato:regio.decreto:1940-10-28;1443:1~art27!vig=" TargetMode="External"/><Relationship Id="rIdseyt5jgn21yy_ayaakqbl" Type="http://schemas.openxmlformats.org/officeDocument/2006/relationships/hyperlink" Target="https://www.normattiva.it/uri-res/N2Ls?urn:nir:stato:regio.decreto:1940-10-28;1443:1~art615!vig=" TargetMode="External"/><Relationship Id="rId8ultjgzadohh8utu7fih4" Type="http://schemas.openxmlformats.org/officeDocument/2006/relationships/hyperlink" Target="https://www.normattiva.it/uri-res/N2Ls?urn:nir:stato:regio.decreto:1940-10-28;1443:1~art617!vig=" TargetMode="External"/><Relationship Id="rId7s5o1vctrivvgln0ricl7" Type="http://schemas.openxmlformats.org/officeDocument/2006/relationships/hyperlink" Target="https://www.normattiva.it/uri-res/N2Ls?urn:nir:stato:regio.decreto:1942-03-16;262:2~art1194!vig=" TargetMode="External"/><Relationship Id="rIdcwi4ska6lnihbhx4rqkj2" Type="http://schemas.openxmlformats.org/officeDocument/2006/relationships/hyperlink" Target="https://www.normattiva.it/uri-res/N2Ls?urn:nir:stato:regio.decreto:1942-03-16;262:2~art1283!vig=" TargetMode="External"/><Relationship Id="rIdbzy4dldsux6ee-gt4n5sa" Type="http://schemas.openxmlformats.org/officeDocument/2006/relationships/hyperlink" Target="https://www.normattiva.it/uri-res/N2Ls?urn:nir:stato:regio.decreto:1942-03-16;262:2~art1284!vig=" TargetMode="External"/><Relationship Id="rId1dgcj7d9xrw29nu7iapbg" Type="http://schemas.openxmlformats.org/officeDocument/2006/relationships/hyperlink" Target="https://www.normattiva.it/uri-res/N2Ls?urn:nir:stato:decreto.legislativo:2002-10-09;231~art5!vig=" TargetMode="External"/><Relationship Id="rIdz0lty-y9cxge_7trzobhw" Type="http://schemas.openxmlformats.org/officeDocument/2006/relationships/hyperlink" Target="https://www.normattiva.it/uri-res/N2Ls?urn:nir:stato:regio.decreto:1942-03-16;262:2~art2953!vig=" TargetMode="External"/><Relationship Id="rIdsluk9yrbn4frg3kic-8nq" Type="http://schemas.openxmlformats.org/officeDocument/2006/relationships/hyperlink" Target="https://www.normattiva.it/uri-res/N2Ls?urn:nir:ministero.giustizia:decreto:2014-03-10;55~art2!vig=" TargetMode="External"/><Relationship Id="rIdu0mqyrtl6zcucmp3erqgz" Type="http://schemas.openxmlformats.org/officeDocument/2006/relationships/hyperlink" Target="https://www.normattiva.it/uri-res/N2Ls?urn:nir:stato:decreto.del.presidente.della.repubblica:1972-10-26;633~art16!vig=" TargetMode="External"/><Relationship Id="rIdzfuwo-qeq12-n2kfc8hcl" Type="http://schemas.openxmlformats.org/officeDocument/2006/relationships/hyperlink" Target="https://www.normattiva.it/uri-res/N2Ls?urn:nir:stato:legge:1980-09-20;576~art11!vig=" TargetMode="External"/><Relationship Id="rId689cp57p_f6wv3ljzysyy" Type="http://schemas.openxmlformats.org/officeDocument/2006/relationships/hyperlink" Target="https://www.normattiva.it/uri-res/N2Ls?urn:nir:stato:decreto.legislativo:2019-01-12;14~art65!vig=" TargetMode="External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Atto di precetto</dc:title>
  <dc:subject>Formulario Chiostro</dc:subject>
  <dc:creator>Chiostro</dc:creator>
  <dc:language>it-IT</dc:language>
  <cp:keywords>formulario, modello, atto, Chiostro</cp:keywords>
  <dc:description>Formulario Chiostro — aggiornato al 18/10/2026 — chiostro.legal/formulari</dc:description>
  <cp:lastModifiedBy>Chiostro</cp:lastModifiedBy>
  <cp:revision>1</cp:revision>
  <dcterms:created xsi:type="dcterms:W3CDTF">2026-10-18T22:38:38.203Z</dcterms:created>
  <dcterms:modified xsi:type="dcterms:W3CDTF">2026-10-18T22:38:38.203Z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