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otaTitolo"/>
        <w:keepNext/>
        <w:spacing w:after="20" w:before="0" w:line="240"/>
        <w:jc w:val="left"/>
      </w:pPr>
      <w:bookmarkStart w:name="modello_1" w:id="1"/>
      <w:r>
        <w:rPr>
          <w:rFonts w:ascii="Calibri" w:cs="Calibri" w:eastAsia="Calibri" w:hAnsi="Calibri"/>
          <w:b/>
          <w:bCs/>
          <w:color w:val="7A817E"/>
          <w:spacing w:val="8"/>
          <w:sz w:val="16"/>
          <w:szCs w:val="16"/>
        </w:rPr>
        <w:t xml:space="preserve">MODELLO A — ATTO DI QUERELA</w:t>
      </w:r>
      <w:bookmarkEnd w:id="1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keepNext/>
        <w:spacing w:after="6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smallCaps/>
          <w:spacing w:val="10"/>
          <w:sz w:val="26"/>
          <w:szCs w:val="26"/>
        </w:rPr>
        <w:t xml:space="preserve">Alla Procura della Repubblica presso il Tribunale di </w:t>
      </w:r>
      <w:r>
        <w:rPr>
          <w:rFonts w:ascii="Times New Roman" w:cs="Times New Roman" w:eastAsia="Times New Roman" w:hAnsi="Times New Roman"/>
          <w:b/>
          <w:bCs/>
          <w:smallCaps/>
          <w:spacing w:val="10"/>
          <w:sz w:val="26"/>
          <w:szCs w:val="26"/>
          <w:highlight w:val="yellow"/>
          <w:highlightCs w:val="yellow"/>
        </w:rPr>
        <w:t xml:space="preserve">[____]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mantenere o cancellare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per il tramite di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[Comando/Ufficio di polizia giudiziaria: ____]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  <w:hyperlink w:history="1" w:anchor="nota_1">
              <w:r>
                <w:rPr>
                  <w:rFonts w:ascii="Calibri" w:cs="Calibri" w:eastAsia="Calibri" w:hAnsi="Calibri"/>
                  <w:color w:val="7A817E"/>
                  <w:sz w:val="18"/>
                  <w:szCs w:val="18"/>
                  <w:vertAlign w:val="superscript"/>
                </w:rPr>
                <w:t xml:space="preserve">(1)</w:t>
              </w:r>
            </w:hyperlink>
          </w:p>
        </w:tc>
      </w:tr>
    </w:tbl>
    <w:p>
      <w:pPr>
        <w:spacing w:after="0" w:before="0" w:line="160"/>
      </w:pPr>
    </w:p>
    <w:p>
      <w:pPr>
        <w:pStyle w:val="Atto"/>
        <w:keepNext/>
        <w:spacing w:after="60" w:before="240" w:line="300"/>
        <w:jc w:val="center"/>
      </w:pPr>
      <w:r>
        <w:rPr>
          <w:rFonts w:ascii="Times New Roman" w:cs="Times New Roman" w:eastAsia="Times New Roman" w:hAnsi="Times New Roman"/>
          <w:b/>
          <w:bCs/>
          <w:spacing w:val="30"/>
          <w:sz w:val="30"/>
          <w:szCs w:val="30"/>
        </w:rPr>
        <w:t xml:space="preserve">ATTO DI QUERELA</w:t>
      </w:r>
    </w:p>
    <w:p>
      <w:pPr>
        <w:pStyle w:val="Atto"/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(artt. 120 e 124 c.p.; artt. 336 e 337 c.p.p.)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sottoscritto/a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nato/a 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C.F.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residente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in qualità di legale rappresentante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[ente]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, C.F.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, con sede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, in forza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[delibera / statuto art. __ / procura del ____, che si allega]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hyperlink w:history="1" w:anchor="nota_2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(2)</w:t>
        </w:r>
      </w:hyperlink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in qualità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[genitore / tutore / curatore]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, nato/a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ESPONE QUANTO SEGUE </w:t>
      </w:r>
      <w:hyperlink w:history="1" w:anchor="nota_3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(3)</w:t>
        </w:r>
      </w:hyperlink>
    </w:p>
    <w:p>
      <w:pPr>
        <w:pStyle w:val="Atto"/>
        <w:numPr>
          <w:ilvl w:val="0"/>
          <w:numId w:val="2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 data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alle ore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[luogo]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highlight w:val="yellow"/>
          <w:highlightCs w:val="yellow"/>
        </w:rPr>
        <w:t xml:space="preserve">[descrizione cronologica, precisa e sobria dei fatti: chi, che cosa, come, con quali conseguenze]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numPr>
          <w:ilvl w:val="0"/>
          <w:numId w:val="2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  <w:highlight w:val="yellow"/>
          <w:highlightCs w:val="yellow"/>
        </w:rPr>
        <w:t xml:space="preserve">[Danni subiti: lesioni (referto del ____ allegato, prognosi di __ giorni), beni sottratti o danneggiati (valore), somme versate (estremi dei pagamenti)]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numPr>
          <w:ilvl w:val="0"/>
          <w:numId w:val="2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sottoscritto/a ha avuto notizia del fatto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nell'immediatezza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, quando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[circostanza]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hyperlink w:history="1" w:anchor="nota_4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(4)</w:t>
        </w:r>
      </w:hyperlink>
    </w:p>
    <w:p>
      <w:pPr>
        <w:pStyle w:val="Atto"/>
        <w:numPr>
          <w:ilvl w:val="0"/>
          <w:numId w:val="2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Autore del fatto è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[nome, cognome, dati noti]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persona allo stato non identificata, con le seguenti caratteristiche: ____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numPr>
          <w:ilvl w:val="0"/>
          <w:numId w:val="2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Hanno assistito ai fatti, o ne sono a conoscenza: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[nome, cognome, recapito]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; ____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Tanto premesso, il/la sottoscritto/a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PROPONE FORMALE QUERELA </w:t>
      </w:r>
      <w:hyperlink w:history="1" w:anchor="nota_5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(5)</w:t>
        </w:r>
      </w:hyperlink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nei confronti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e di chiunque altro risulterà responsabile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per il reato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(art.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c.p.)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e per ogni altro reato che l'Autorità giudiziaria riterrà di ravvisare nei fatti esposti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e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CHIEDE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che si proceda penalmente nei confronti del/dei responsabile/i e che sia/siano puniti a norma di legge.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DICHIARA </w:t>
      </w:r>
      <w:r>
        <w:rPr>
          <w:rFonts w:ascii="Cambria Math" w:cs="Cambria Math" w:eastAsia="Cambria Math" w:hAnsi="Cambria Math"/>
          <w:b/>
          <w:bCs/>
          <w:color w:val="7A817E"/>
          <w:spacing w:val="20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  <w:shd w:fill="DCDCDC" w:color="auto" w:val="clear"/>
        </w:rPr>
        <w:t xml:space="preserve"> ED ELEGGE </w:t>
      </w:r>
      <w:r>
        <w:rPr>
          <w:rFonts w:ascii="Cambria Math" w:cs="Cambria Math" w:eastAsia="Cambria Math" w:hAnsi="Cambria Math"/>
          <w:b/>
          <w:bCs/>
          <w:color w:val="7A817E"/>
          <w:spacing w:val="20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 DOMICILIO </w:t>
      </w:r>
      <w:hyperlink w:history="1" w:anchor="nota_6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(6)</w:t>
        </w:r>
      </w:hyperlink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ai fini della comunicazione e della notificazione degli atti del procedimento (art. 153-bis c.p.p.)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scegliere e cancellare le altre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presso il proprio domicilio digitale: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[PEC / servizio elettronico di recapito certificato qualificato]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in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[indirizzo]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presso lo studio del difensore nominato, avv.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[____]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[indirizzo]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PEC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[____]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</w:t>
            </w:r>
          </w:p>
        </w:tc>
      </w:tr>
    </w:tbl>
    <w:p>
      <w:pPr>
        <w:spacing w:after="0" w:before="0" w:line="160"/>
      </w:pP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 si impegna a comunicare tempestivamente ogni mutamento (art. 153-bis, comma 3).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NOMINA </w:t>
      </w:r>
      <w:hyperlink w:history="1" w:anchor="nota_7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(7)</w:t>
        </w:r>
      </w:hyperlink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quale difensore di fiducia l'avv.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del Foro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 studio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PEC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(art. 101 c.p.p.).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CHIEDE INOLTRE</w:t>
      </w:r>
    </w:p>
    <w:p>
      <w:pPr>
        <w:pStyle w:val="Atto"/>
        <w:numPr>
          <w:ilvl w:val="0"/>
          <w:numId w:val="3"/>
        </w:numPr>
        <w:spacing w:after="120" w:before="0" w:line="360"/>
        <w:ind w:left="567" w:hanging="3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 essere informato/a, ai sensi dell'art. 408, comma 2, c.p.p., dell'eventuale richiesta di archiviazione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anche ai sensi dell'art. 411, comma 1-bis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</w:t>
      </w:r>
      <w:hyperlink w:history="1" w:anchor="nota_8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(8)</w:t>
        </w:r>
      </w:hyperlink>
    </w:p>
    <w:p>
      <w:pPr>
        <w:pStyle w:val="Atto"/>
        <w:numPr>
          <w:ilvl w:val="0"/>
          <w:numId w:val="3"/>
        </w:numPr>
        <w:spacing w:after="120" w:before="0" w:line="360"/>
        <w:ind w:left="567" w:hanging="3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 ricevere comunicazione delle iscrizioni nel registro delle notizie di reato, ai sensi dell'art. 335, comma 3, c.p.p.;</w:t>
      </w:r>
    </w:p>
    <w:p>
      <w:pPr>
        <w:pStyle w:val="Atto"/>
        <w:numPr>
          <w:ilvl w:val="0"/>
          <w:numId w:val="3"/>
        </w:numPr>
        <w:spacing w:after="120" w:before="0" w:line="360"/>
        <w:ind w:left="567" w:hanging="340"/>
        <w:jc w:val="both"/>
      </w:pP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che siano disposti con urgenza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highlight w:val="yellow"/>
          <w:highlightCs w:val="yellow"/>
        </w:rPr>
        <w:t xml:space="preserve">[sequestro / acquisizione delle immagini di videosorveglianza di ____, che vengono di regola conservate per un tempo limitato / acquisizione dei tabulati]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numPr>
          <w:ilvl w:val="0"/>
          <w:numId w:val="3"/>
        </w:numPr>
        <w:spacing w:after="120" w:before="0" w:line="360"/>
        <w:ind w:left="567" w:hanging="340"/>
        <w:jc w:val="both"/>
      </w:pP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di essere informato/a dei programmi di giustizia riparativa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Si riserva di costituirsi parte civile e di richiedere il risarcimento di tutti i danni.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Si allegano: 1)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[documento d'identità]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2)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[referti]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3)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[documenti]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4)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procura speciale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 5)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atto da cui risultano i poteri di rappresentanza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[Luogo]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</w:p>
    <w:p>
      <w:pPr>
        <w:pStyle w:val="Atto"/>
        <w:keepLines/>
        <w:spacing w:after="160" w:before="0" w:line="276"/>
        <w:ind w:left="3685"/>
        <w:jc w:val="left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[firma del/della querelante]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mantenere o cancellare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VIA (a) – Autentica: «È autentica la firma che precede, apposta in mia presenza da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[nome]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, identificato/a con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[documento]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. Avv.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  <w:highlightCs w:val="yellow"/>
              </w:rPr>
              <w:t xml:space="preserve">[____]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» (art. 39 disp. att. c.p.p.) </w:t>
            </w:r>
            <w:hyperlink w:history="1" w:anchor="nota_9">
              <w:r>
                <w:rPr>
                  <w:rFonts w:ascii="Calibri" w:cs="Calibri" w:eastAsia="Calibri" w:hAnsi="Calibri"/>
                  <w:color w:val="7A817E"/>
                  <w:sz w:val="18"/>
                  <w:szCs w:val="18"/>
                  <w:vertAlign w:val="superscript"/>
                </w:rPr>
                <w:t xml:space="preserve">(9)</w:t>
              </w:r>
            </w:hyperlink>
          </w:p>
        </w:tc>
      </w:tr>
    </w:tbl>
    <w:p>
      <w:pPr>
        <w:spacing w:after="0" w:before="0" w:line="160"/>
      </w:pPr>
    </w:p>
    <w:p>
      <w:pPr>
        <w:sectPr>
          <w:footerReference w:type="default" r:id="rId7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NotaTitolo"/>
        <w:keepNext/>
        <w:spacing w:after="20" w:before="0" w:line="240"/>
        <w:jc w:val="left"/>
      </w:pPr>
      <w:bookmarkStart w:name="modello_2" w:id="2"/>
      <w:r>
        <w:rPr>
          <w:rFonts w:ascii="Calibri" w:cs="Calibri" w:eastAsia="Calibri" w:hAnsi="Calibri"/>
          <w:b/>
          <w:bCs/>
          <w:color w:val="7A817E"/>
          <w:spacing w:val="8"/>
          <w:sz w:val="16"/>
          <w:szCs w:val="16"/>
        </w:rPr>
        <w:t xml:space="preserve">MODELLO B — PROCURA SPECIALE PER PROPORRE QUERELA (ART. 122 C.P.P.)</w:t>
      </w:r>
      <w:bookmarkEnd w:id="2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keepNext/>
        <w:spacing w:after="60" w:before="240" w:line="300"/>
        <w:jc w:val="center"/>
      </w:pPr>
      <w:r>
        <w:rPr>
          <w:rFonts w:ascii="Times New Roman" w:cs="Times New Roman" w:eastAsia="Times New Roman" w:hAnsi="Times New Roman"/>
          <w:b/>
          <w:bCs/>
          <w:spacing w:val="30"/>
          <w:sz w:val="30"/>
          <w:szCs w:val="30"/>
        </w:rPr>
        <w:t xml:space="preserve">PROCURA SPECIALE</w:t>
      </w:r>
    </w:p>
    <w:p>
      <w:pPr>
        <w:pStyle w:val="Atto"/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(artt. 336 e 122 c.p.p.)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sottoscritto/a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nato/a 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C.F.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residente in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nomina e costituisce proprio procuratore speciale l'avv.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del Foro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affinché, in suo nome e per suo conto, proponga querela nei confronti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e di chiunque risulterà responsabile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per i seguenti FATTI: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highlight w:val="yellow"/>
          <w:highlightCs w:val="yellow"/>
        </w:rPr>
        <w:t xml:space="preserve">[descrizione specifica: data, luogo, condotta; es. «le minacce rivoltegli il ____ in ____ mediante messaggi inviati al numero ____»]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hyperlink w:history="1" w:anchor="nota_10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(10)</w:t>
        </w:r>
      </w:hyperlink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OGGETTO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 la proposizione della querela per il reato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 per ogni altro reato ravvisabile in detti fatti, con facoltà di dichiarare o eleggere domicilio, di chiedere gli avvisi degli artt. 335 e 408 c.p.p. e di compiere ogni atto connesso.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8"/>
        <w:gridCol w:w="4264"/>
      </w:tblGrid>
      <w:tr>
        <w:trPr>
          <w:cantSplit/>
        </w:trPr>
        <w:tc>
          <w:tcPr>
            <w:tcW w:type="dxa" w:w="4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[Luogo]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[data]</w:t>
            </w:r>
          </w:p>
        </w:tc>
        <w:tc>
          <w:tcPr>
            <w:tcW w:type="dxa" w:w="4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[firma]</w:t>
            </w:r>
          </w:p>
        </w:tc>
      </w:tr>
    </w:tbl>
    <w:p>
      <w:pPr>
        <w:spacing w:after="0" w:before="0" w:line="160"/>
      </w:pP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È autentica la firma che precede. 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(art. 122, comma 1, secondo periodo, c.p.p.)</w:t>
      </w:r>
    </w:p>
    <w:p>
      <w:pPr>
        <w:sectPr>
          <w:footerReference w:type="default" r:id="rId8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NotaTitolo"/>
        <w:keepNext/>
        <w:spacing w:after="20" w:before="0" w:line="240"/>
        <w:jc w:val="left"/>
      </w:pPr>
      <w:bookmarkStart w:name="modello_3" w:id="3"/>
      <w:r>
        <w:rPr>
          <w:rFonts w:ascii="Calibri" w:cs="Calibri" w:eastAsia="Calibri" w:hAnsi="Calibri"/>
          <w:b/>
          <w:bCs/>
          <w:color w:val="7A817E"/>
          <w:spacing w:val="8"/>
          <w:sz w:val="16"/>
          <w:szCs w:val="16"/>
        </w:rPr>
        <w:t xml:space="preserve">MODELLO C — OPPOSIZIONE ALLA RICHIESTA DI ARCHIVIAZIONE (ART. 410 C.P.P.)</w:t>
      </w:r>
      <w:bookmarkEnd w:id="3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keepNext/>
        <w:spacing w:after="6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smallCaps/>
          <w:spacing w:val="10"/>
          <w:sz w:val="26"/>
          <w:szCs w:val="26"/>
        </w:rPr>
        <w:t xml:space="preserve">Al Giudice per le Indagini Preliminari presso il Tribunale di </w:t>
      </w:r>
      <w:r>
        <w:rPr>
          <w:rFonts w:ascii="Times New Roman" w:cs="Times New Roman" w:eastAsia="Times New Roman" w:hAnsi="Times New Roman"/>
          <w:b/>
          <w:bCs/>
          <w:smallCaps/>
          <w:spacing w:val="10"/>
          <w:sz w:val="26"/>
          <w:szCs w:val="26"/>
          <w:highlight w:val="yellow"/>
          <w:highlightCs w:val="yellow"/>
        </w:rPr>
        <w:t xml:space="preserve">[____]</w:t>
      </w:r>
    </w:p>
    <w:p>
      <w:pPr>
        <w:pStyle w:val="Atto"/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Proc. pen. n. </w:t>
      </w:r>
      <w:r>
        <w:rPr>
          <w:rFonts w:ascii="Times New Roman" w:cs="Times New Roman" w:eastAsia="Times New Roman" w:hAnsi="Times New Roman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R.G.N.R. – </w:t>
      </w:r>
      <w:r>
        <w:rPr>
          <w:rFonts w:ascii="Times New Roman" w:cs="Times New Roman" w:eastAsia="Times New Roman" w:hAnsi="Times New Roman"/>
          <w:sz w:val="22"/>
          <w:szCs w:val="22"/>
          <w:highlight w:val="yellow"/>
          <w:highlightCs w:val="yellow"/>
        </w:rPr>
        <w:t xml:space="preserve">[n. ____ R.G. GIP]</w:t>
      </w:r>
    </w:p>
    <w:p>
      <w:pPr>
        <w:pStyle w:val="Atto"/>
        <w:keepNext/>
        <w:spacing w:after="60" w:before="240" w:line="300"/>
        <w:jc w:val="center"/>
      </w:pPr>
      <w:r>
        <w:rPr>
          <w:rFonts w:ascii="Times New Roman" w:cs="Times New Roman" w:eastAsia="Times New Roman" w:hAnsi="Times New Roman"/>
          <w:b/>
          <w:bCs/>
          <w:spacing w:val="30"/>
          <w:sz w:val="30"/>
          <w:szCs w:val="30"/>
        </w:rPr>
        <w:t xml:space="preserve">OPPOSIZIONE ALLA RICHIESTA DI ARCHIVIAZIONE</w:t>
      </w:r>
    </w:p>
    <w:p>
      <w:pPr>
        <w:pStyle w:val="Atto"/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(artt. 408, 410 c.p.p.)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persona offesa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 e cognome]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rappresentata e assistita dall'avv.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ricevuto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l'avviso della richiesta di archiviazione del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premesso che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[sintesi dei motivi della richiesta del PM e delle ragioni per cui sono insufficienti]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SI OPPONE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 chiede la prosecuzione delle indagini preliminari, indicando, ai sensi dell'art. 410, comma 1, c.p.p.: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OGGETTO DELL'INVESTIGAZIONE SUPPLETIVA </w:t>
      </w:r>
      <w:hyperlink w:history="1" w:anchor="nota_11">
        <w:r>
          <w:rPr>
            <w:rFonts w:ascii="Calibri" w:cs="Calibri" w:eastAsia="Calibri" w:hAnsi="Calibri"/>
            <w:color w:val="7A817E"/>
            <w:sz w:val="18"/>
            <w:szCs w:val="18"/>
            <w:vertAlign w:val="superscript"/>
          </w:rPr>
          <w:t xml:space="preserve">(11)</w:t>
        </w:r>
      </w:hyperlink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[es. identificazione dell'utenza ____ e dell'intestatario]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[es. audizione di ____, presente ai fatti, mai sentito]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[es. acquisizione delle registrazioni di ____ / dei tabulati del 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keepNext/>
        <w:spacing w:after="120" w:before="240" w:line="360"/>
        <w:jc w:val="center"/>
      </w:pPr>
      <w:r>
        <w:rPr>
          <w:rFonts w:ascii="Times New Roman" w:cs="Times New Roman" w:eastAsia="Times New Roman" w:hAnsi="Times New Roman"/>
          <w:b/>
          <w:bCs/>
          <w:spacing w:val="20"/>
          <w:sz w:val="24"/>
          <w:szCs w:val="24"/>
        </w:rPr>
        <w:t xml:space="preserve">RELATIVI ELEMENTI DI PROVA</w:t>
      </w:r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[perché quell'atto è utile e che cosa ci si aspetta che dimostri]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pStyle w:val="Atto"/>
        <w:spacing w:after="120" w:before="0" w:line="360"/>
        <w:ind w:left="907" w:hanging="454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Chiede pertanto che il Giudice fissi l'udienza in camera di consiglio (art. 409, comma 2) e</w:t>
      </w:r>
    </w:p>
    <w:tbl>
      <w:tblPr>
        <w:tblW w:type="dxa" w:w="9072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scegliere e cancellare le altre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indichi al PM le ulteriori indagini (comma 4)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disponga la formulazione dell'imputazione (comma 5).</w:t>
            </w:r>
          </w:p>
        </w:tc>
      </w:tr>
    </w:tbl>
    <w:p>
      <w:pPr>
        <w:spacing w:after="0" w:before="0" w:line="16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8"/>
        <w:gridCol w:w="4264"/>
      </w:tblGrid>
      <w:tr>
        <w:trPr>
          <w:cantSplit/>
        </w:trPr>
        <w:tc>
          <w:tcPr>
            <w:tcW w:type="dxa" w:w="4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[Luogo, data]</w:t>
            </w:r>
          </w:p>
        </w:tc>
        <w:tc>
          <w:tcPr>
            <w:tcW w:type="dxa" w:w="4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pPr>
              <w:pStyle w:val="Atto"/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Avv.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highlightCs w:val="yellow"/>
              </w:rPr>
              <w:t xml:space="preserve">[____]</w:t>
            </w:r>
          </w:p>
        </w:tc>
      </w:tr>
    </w:tbl>
    <w:p>
      <w:pPr>
        <w:spacing w:after="0" w:before="0" w:line="160"/>
      </w:pPr>
    </w:p>
    <w:p>
      <w:pPr>
        <w:sectPr>
          <w:footerReference w:type="default" r:id="rId9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NotaTitolo"/>
        <w:keepNext/>
        <w:spacing w:after="20" w:before="0" w:line="240"/>
        <w:jc w:val="left"/>
      </w:pPr>
      <w:bookmarkStart w:name="modello_4" w:id="4"/>
      <w:r>
        <w:rPr>
          <w:rFonts w:ascii="Calibri" w:cs="Calibri" w:eastAsia="Calibri" w:hAnsi="Calibri"/>
          <w:b/>
          <w:bCs/>
          <w:color w:val="7A817E"/>
          <w:spacing w:val="8"/>
          <w:sz w:val="16"/>
          <w:szCs w:val="16"/>
        </w:rPr>
        <w:t xml:space="preserve">MODELLO D — REMISSIONE DELLA QUERELA E ACCETTAZIONE (ARTT. 152 C.P., 340 C.P.P.)</w:t>
      </w:r>
      <w:bookmarkEnd w:id="4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sottoscritto/a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[querelante]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nel procedimento n.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[____]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DICHIARA di rimettere la querela proposta 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nei confronti di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[querelato]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Rinuncia altresì alle restituzioni e al risarcimento del danno (art. 152, ultimo comma, c.p.)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⟦</w:t>
      </w:r>
      <w:r>
        <w:rPr>
          <w:rFonts w:ascii="Times New Roman" w:cs="Times New Roman" w:eastAsia="Times New Roman" w:hAnsi="Times New Roman"/>
          <w:sz w:val="24"/>
          <w:szCs w:val="24"/>
          <w:shd w:fill="DCDCDC" w:color="auto" w:val="clear"/>
        </w:rPr>
        <w:t xml:space="preserve"> Le parti convengono che le spese del procedimento restino a carico di ____ (art. 340, comma 4, c.p.p.) </w:t>
      </w:r>
      <w:r>
        <w:rPr>
          <w:rFonts w:ascii="Cambria Math" w:cs="Cambria Math" w:eastAsia="Cambria Math" w:hAnsi="Cambria Math"/>
          <w:color w:val="7A817E"/>
          <w:sz w:val="24"/>
          <w:szCs w:val="24"/>
        </w:rPr>
        <w:t xml:space="preserve">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remissione non è sottoposta a termini o condizioni (art. 152 c.p.).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[firma]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querelato/a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[nome]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DICHIARA di accettare la remissione.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[firma]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(da rendere davanti all'autorità procedente o a un ufficiale di polizia giudiziaria, o con le forme della rinuncia espressa: art. 340, commi 1-2, c.p.p.)</w:t>
      </w:r>
    </w:p>
    <w:p>
      <w:pPr>
        <w:sectPr>
          <w:footerReference w:type="default" r:id="rId10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NotaTitolo"/>
        <w:keepNext/>
        <w:spacing w:after="20" w:before="0" w:line="240"/>
        <w:jc w:val="left"/>
      </w:pPr>
      <w:bookmarkStart w:name="modello_5" w:id="5"/>
      <w:r>
        <w:rPr>
          <w:rFonts w:ascii="Calibri" w:cs="Calibri" w:eastAsia="Calibri" w:hAnsi="Calibri"/>
          <w:b/>
          <w:bCs/>
          <w:color w:val="7A817E"/>
          <w:spacing w:val="8"/>
          <w:sz w:val="16"/>
          <w:szCs w:val="16"/>
        </w:rPr>
        <w:t xml:space="preserve">AVVERTENZE DA FAR FIRMARE AL CLIENTE</w:t>
      </w:r>
      <w:bookmarkEnd w:id="5"/>
    </w:p>
    <w:p>
      <w:pPr>
        <w:pStyle w:val="NotaTesta"/>
        <w:keepNext/>
        <w:spacing w:after="2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Bozza da adattare al caso concreto e da sottoscrivere dal difensore</w:t>
      </w:r>
    </w:p>
    <w:p>
      <w:pPr>
        <w:pStyle w:val="NotaTesta"/>
        <w:keepNext/>
        <w:pBdr>
          <w:bottom w:val="single" w:color="D9DAD2" w:sz="4" w:space="6"/>
        </w:pBdr>
        <w:spacing w:after="200" w:before="0" w:line="240"/>
        <w:jc w:val="left"/>
      </w:pPr>
      <w:r>
        <w:rPr>
          <w:rFonts w:ascii="Calibri" w:cs="Calibri" w:eastAsia="Calibri" w:hAnsi="Calibri"/>
          <w:color w:val="7A817E"/>
          <w:sz w:val="16"/>
          <w:szCs w:val="16"/>
        </w:rPr>
        <w:t xml:space="preserve">Legenda: </w:t>
      </w:r>
      <w:r>
        <w:rPr>
          <w:rFonts w:ascii="Calibri" w:cs="Calibri" w:eastAsia="Calibri" w:hAnsi="Calibri"/>
          <w:color w:val="16191A"/>
          <w:sz w:val="16"/>
          <w:szCs w:val="16"/>
          <w:highlight w:val="yellow"/>
          <w:highlightCs w:val="yellow"/>
        </w:rPr>
        <w:t xml:space="preserve">campo da compilare</w:t>
      </w:r>
      <w:r>
        <w:rPr>
          <w:rFonts w:ascii="Calibri" w:cs="Calibri" w:eastAsia="Calibri" w:hAnsi="Calibri"/>
          <w:color w:val="7A817E"/>
          <w:sz w:val="16"/>
          <w:szCs w:val="16"/>
        </w:rPr>
        <w:t xml:space="preserve">  ·  </w:t>
      </w:r>
      <w:r>
        <w:rPr>
          <w:rFonts w:ascii="Calibri" w:cs="Calibri" w:eastAsia="Calibri" w:hAnsi="Calibri"/>
          <w:color w:val="16191A"/>
          <w:sz w:val="16"/>
          <w:szCs w:val="16"/>
          <w:shd w:fill="DCDCDC" w:color="auto" w:val="clear"/>
        </w:rPr>
        <w:t xml:space="preserve">variante (fondo o riquadro grigio): scegliere e cancellare le altre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Il/La sottoscritto/a dichiara di essere stato/a informato/a che: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querela si estende di diritto a tutti coloro che hanno commesso il reato (art. 123 c.p.);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fatti incompatibili con la volontà di querelarsi possono costituire rinuncia tacita, che si estende a tutti i coautori (art. 124, commi 3-4, c.p.);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se, citato/a come testimone, non compare all'udienza senza giustificato motivo, la querela si intende tacitamente rimessa e il reato si estingue (art. 152, terzo comma, n. 1, c.p.; art. 90-bis, lett. n-bis, c.p.p.), salvo le eccezioni del quarto comma (incapacità, particolare vulnerabilità, querela proposta come rappresentante);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partecipazione a un programma di giustizia riparativa concluso con esito riparativo comporta la remissione tacita, quando gli eventuali impegni dell'imputato sono rispettati (art. 152, terzo comma, n. 2, c.p.);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remissione estingue il reato, può intervenire solo prima della condanna salvo diversa previsione, non può essere sottoposta a termini o condizioni, e le spese restano a carico del querelato salvo diverso accordo (art. 152 c.p.; art. 340, comma 4, c.p.p.);</w:t>
      </w:r>
    </w:p>
    <w:tbl>
      <w:tblPr>
        <w:tblW w:type="dxa" w:w="8505"/>
        <w:tblInd w:type="dxa" w:w="567"/>
        <w:tblBorders>
          <w:top w:val="single" w:color="BFBFBF" w:sz="4"/>
          <w:left w:val="single" w:color="7A817E" w:sz="18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  <w:tblLayout w:type="fixed"/>
      </w:tblPr>
      <w:tblGrid>
        <w:gridCol w:w="8505"/>
      </w:tblGrid>
      <w:tr>
        <w:trPr>
          <w:cantSplit w:val="false"/>
        </w:trPr>
        <w:tc>
          <w:tcPr>
            <w:tcW w:type="dxa" w:w="8505"/>
            <w:tcBorders>
              <w:top w:val="single" w:color="BFBFBF" w:sz="4"/>
              <w:left w:val="single" w:color="7A817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90"/>
              <w:left w:type="dxa" w:w="160"/>
              <w:bottom w:type="dxa" w:w="40"/>
              <w:right w:type="dxa" w:w="140"/>
            </w:tcMar>
          </w:tcPr>
          <w:p>
            <w:pPr>
              <w:pStyle w:val="DidascaliaVariante"/>
              <w:keepNext/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4F5654"/>
                <w:spacing w:val="24"/>
                <w:sz w:val="15"/>
                <w:szCs w:val="15"/>
              </w:rPr>
              <w:t xml:space="preserve">VARIANTE — scegliere e cancellare le altre</w:t>
            </w: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per gli atti persecutori la remissione può essere soltanto processuale, e la querela è irrevocabile se il fatto è commesso con minacce reiterate nei modi dell'art. 612, secondo comma (art. 612-bis c.p.)</w:t>
            </w:r>
          </w:p>
          <w:p>
            <w:pPr>
              <w:pStyle w:val="AttoRiquadro"/>
              <w:pBdr>
                <w:bottom w:val="dashed" w:color="A6A6A6" w:sz="4" w:space="1"/>
              </w:pBdr>
              <w:spacing w:after="70" w:before="20" w:line="40" w:lineRule="exact"/>
            </w:pPr>
          </w:p>
          <w:p>
            <w:pPr>
              <w:pStyle w:val="AttoRiquadro"/>
              <w:spacing w:after="60" w:before="0" w:line="276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per la violenza sessuale la querela è irrevocabile (art. 609-septies c.p.);</w:t>
            </w:r>
          </w:p>
        </w:tc>
      </w:tr>
    </w:tbl>
    <w:p>
      <w:pPr>
        <w:spacing w:after="0" w:before="0" w:line="160"/>
      </w:pP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 il procedimento si conclude perché il fatto non sussiste o l'imputato non lo ha commesso, il querelante può essere condannato alle spese e, in caso di colpa grave, ai danni (artt. 427 e 542 c.p.p.); chi incolpa di un reato una persona che sa innocente commette calunnia (art. 368 c.p.);</w:t>
      </w:r>
    </w:p>
    <w:p>
      <w:pPr>
        <w:pStyle w:val="Atto"/>
        <w:numPr>
          <w:ilvl w:val="0"/>
          <w:numId w:val="4"/>
        </w:numPr>
        <w:spacing w:after="120" w:before="0" w:line="36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deve comunicare ogni cambio del domicilio dichiarato o eletto (art. 153-bis, comma 3, c.p.p.).</w:t>
      </w:r>
    </w:p>
    <w:p>
      <w:pPr>
        <w:pStyle w:val="Atto"/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 e firma]</w:t>
      </w:r>
    </w:p>
    <w:p>
      <w:pPr>
        <w:sectPr>
          <w:footerReference w:type="default" r:id="rId11"/>
          <w:type w:val="nextPage"/>
          <w:pgSz w:w="11906" w:h="16838" w:orient="portrait"/>
          <w:pgMar w:top="1417" w:right="1417" w:bottom="1417" w:left="1417" w:header="680" w:footer="680" w:gutter="0"/>
          <w:pgNumType/>
          <w:docGrid w:linePitch="360"/>
        </w:sectPr>
      </w:pPr>
    </w:p>
    <w:p>
      <w:pPr>
        <w:pStyle w:val="Heading1"/>
        <w:pBdr>
          <w:top w:val="single" w:color="2F5546" w:sz="18" w:space="10"/>
        </w:pBdr>
      </w:pPr>
      <w:bookmarkStart w:name="istruzioni" w:id="6"/>
      <w:r>
        <w:rPr>
          <w:rFonts w:ascii="Georgia" w:cs="Georgia" w:eastAsia="Georgia" w:hAnsi="Georgia"/>
          <w:b/>
          <w:bCs/>
          <w:color w:val="2F5546"/>
          <w:sz w:val="48"/>
          <w:szCs w:val="48"/>
        </w:rPr>
        <w:t xml:space="preserve">Istruzioni per la compilazione</w:t>
      </w:r>
      <w:bookmarkEnd w:id="6"/>
    </w:p>
    <w:p>
      <w:pPr>
        <w:pStyle w:val="Subtitle"/>
      </w:pPr>
      <w:r>
        <w:rPr>
          <w:rFonts w:ascii="Calibri" w:cs="Calibri" w:eastAsia="Calibri" w:hAnsi="Calibri"/>
          <w:color w:val="16191A"/>
          <w:sz w:val="32"/>
          <w:szCs w:val="32"/>
        </w:rPr>
        <w:t xml:space="preserve">Atto di querela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none" w:color="FFFFFF" w:sz="0"/>
              <w:left w:val="single" w:color="2F6A4A" w:sz="24"/>
              <w:bottom w:val="none" w:color="FFFFFF" w:sz="0"/>
              <w:right w:val="none" w:color="FFFFFF" w:sz="0"/>
            </w:tcBorders>
            <w:shd w:fill="E3EBE6" w:color="auto" w:val="clear"/>
            <w:tcMar>
              <w:top w:type="dxa" w:w="120"/>
              <w:left w:type="dxa" w:w="220"/>
              <w:bottom w:type="dxa" w:w="70"/>
              <w:right w:type="dxa" w:w="200"/>
            </w:tcMar>
          </w:tcPr>
          <w:p>
            <w:pPr>
              <w:pStyle w:val="Corpo"/>
              <w:spacing w:after="60" w:line="264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Formulario Chiostro · Penale</w:t>
            </w:r>
            <w:r>
              <w:rPr>
                <w:sz w:val="20"/>
                <w:szCs w:val="20"/>
              </w:rPr>
              <w:br/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 querela (artt. 120-126 c.p.; artt. 336-340 c.p.p.) dopo la riforma del processo penale (d.lgs. 10 ottobre 2022, n. 150) e i successivi interventi: termine di tre mesi, dichiarazione o elezione di domicilio anche digitale (art. 153-bis c.p.p.), richiesta di avviso dell'archiviazione e opposizione, remissione tacita per mancata comparizione del querelante testimone. Con le due strade per l'avvocato: autenticare la firma della persona offesa o proporre la querela come procuratore speciale.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1. A che cosa serve e quando si usa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La querela è la dichiarazione con cui la persona offesa, «personalmente o a mezzo di procuratore speciale, … manifesta la volontà che si proceda in ordine a un fatto previsto dalla legge come reato» (art. 336 c.p.p.). Per i reati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procedibili a querela</w:t>
      </w:r>
      <w:r>
        <w:rPr>
          <w:rFonts w:ascii="Calibri" w:cs="Calibri" w:eastAsia="Calibri" w:hAnsi="Calibri"/>
          <w:sz w:val="21"/>
          <w:szCs w:val="21"/>
        </w:rPr>
        <w:t xml:space="preserve"> è una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condizione di procedibilità</w:t>
      </w:r>
      <w:r>
        <w:rPr>
          <w:rFonts w:ascii="Calibri" w:cs="Calibri" w:eastAsia="Calibri" w:hAnsi="Calibri"/>
          <w:sz w:val="21"/>
          <w:szCs w:val="21"/>
        </w:rPr>
        <w:t xml:space="preserve">: senza querela valida e tempestiva il pubblico ministero chiede l'archiviazione perché «manca una condizione di procedibilità» (art. 411, comma 1, c.p.p.).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Spetta a «ogni persona offesa da un reato per cui non debba procedersi d'ufficio o dietro richiesta o istanza» (art. 120 c.p.); per i minori di 14 anni e gli interdetti la esercita il genitore o il tutore; i minori ultraquattordicenni e gli inabilitati la esercitano anche da soli, e il rappresentante può proporla anche contro la loro volontà (art. 120, commi 2-3); se manca il rappresentante o c'è conflitto di interessi, un curatore speciale (art. 121 c.p.; art. 338 c.p.p.).</w:t>
      </w:r>
    </w:p>
    <w:p>
      <w:pPr>
        <w:pStyle w:val="Corpo"/>
        <w:keepNext/>
        <w:spacing w:after="100" w:before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Quando NON si usa (o non basta).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Reato procedibile d'ufficio</w:t>
      </w:r>
      <w:r>
        <w:rPr>
          <w:rFonts w:ascii="Calibri" w:cs="Calibri" w:eastAsia="Calibri" w:hAnsi="Calibri"/>
          <w:sz w:val="21"/>
          <w:szCs w:val="21"/>
        </w:rPr>
        <w:t xml:space="preserve">: basta 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denuncia</w:t>
      </w:r>
      <w:r>
        <w:rPr>
          <w:rFonts w:ascii="Calibri" w:cs="Calibri" w:eastAsia="Calibri" w:hAnsi="Calibri"/>
          <w:sz w:val="21"/>
          <w:szCs w:val="21"/>
        </w:rPr>
        <w:t xml:space="preserve"> (art. 333 c.p.p.). Una querela per un reato d'ufficio vale come notizia di reato, ma le regole su termine e remissione non si applicano.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«Mi riservo di sporgere querela»</w:t>
      </w:r>
      <w:r>
        <w:rPr>
          <w:rFonts w:ascii="Calibri" w:cs="Calibri" w:eastAsia="Calibri" w:hAnsi="Calibri"/>
          <w:sz w:val="21"/>
          <w:szCs w:val="21"/>
        </w:rPr>
        <w:t xml:space="preserve"> non è una querela: manca la volontà attuale che si proceda. La riserva, se il termine scade, non salva nulla.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Esposto senza istanza di punizione</w:t>
      </w:r>
      <w:r>
        <w:rPr>
          <w:rFonts w:ascii="Calibri" w:cs="Calibri" w:eastAsia="Calibri" w:hAnsi="Calibri"/>
          <w:sz w:val="21"/>
          <w:szCs w:val="21"/>
        </w:rPr>
        <w:t xml:space="preserve">: non integra la querela. Scrivete la formula esplicita (Modello A).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4.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Fatti incompatibili con la volontà di querelarsi</w:t>
      </w:r>
      <w:r>
        <w:rPr>
          <w:rFonts w:ascii="Calibri" w:cs="Calibri" w:eastAsia="Calibri" w:hAnsi="Calibri"/>
          <w:sz w:val="21"/>
          <w:szCs w:val="21"/>
        </w:rPr>
        <w:t xml:space="preserve"> (per esempio un accordo transattivo con il colpevole che chiude ogni pretesa) possono valere come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rinuncia tacita</w:t>
      </w:r>
      <w:r>
        <w:rPr>
          <w:rFonts w:ascii="Calibri" w:cs="Calibri" w:eastAsia="Calibri" w:hAnsi="Calibri"/>
          <w:sz w:val="21"/>
          <w:szCs w:val="21"/>
        </w:rPr>
        <w:t xml:space="preserve"> (art. 124, comma 3, c.p.): prima di trattare, decidete se querelare.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5.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Querela strumentale</w:t>
      </w:r>
      <w:r>
        <w:rPr>
          <w:rFonts w:ascii="Calibri" w:cs="Calibri" w:eastAsia="Calibri" w:hAnsi="Calibri"/>
          <w:sz w:val="21"/>
          <w:szCs w:val="21"/>
        </w:rPr>
        <w:t xml:space="preserve">: chi incolpa di un reato una persona che sa innocente commette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calunnia</w:t>
      </w:r>
      <w:r>
        <w:rPr>
          <w:rFonts w:ascii="Calibri" w:cs="Calibri" w:eastAsia="Calibri" w:hAnsi="Calibri"/>
          <w:sz w:val="21"/>
          <w:szCs w:val="21"/>
        </w:rPr>
        <w:t xml:space="preserve"> (art. 368 c.p.); se il giudizio si chiude perché il fatto non sussiste o l'imputato non lo ha commesso, il querelante può essere condannato alle spese e ai danni (artt. 427 e 542 c.p.p.; v. § 8).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2. Riferimenti normativi (testo vigente verificato il 18/10/2026)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2373"/>
        <w:gridCol w:w="4077"/>
        <w:gridCol w:w="3188"/>
      </w:tblGrid>
      <w:tr>
        <w:trPr>
          <w:cantSplit/>
          <w:tblHeader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Norma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Contenuto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Vigenza verificata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C.p., art. 14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computo dei termini: calendario comune; non si conta il giorno di decorrenza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C.p., artt. 120, 121, 122, 123, 125, 126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titolari del diritto; curatore speciale; più offesi; estensione a tutti i coautori; rinuncia del rappresentante; morte dell'offeso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C.p., art. 124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tre mesi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notizia del fatto, «salvo che la legge disponga altrimenti»; rinuncia espressa o tacita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19/5/2020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C.p., art. 152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remissione;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remissione tacita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per mancata comparizione del querelante testimone e per esito riparativo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30/12/2022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C.p., artt. 153, 154, 155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remissione degli incapaci; più querelanti; accettazione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C.p., art. 368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calunnia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C.p., artt. 624-bis e 625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furto in abitazione, con strappo e con destrezza in casi particolari (richiamato dall'art. 408, comma 3-bis, c.p.p.); circostanze aggravanti del furto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 (624-bis dal 25/4/2026)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artt. 90, 90-bis, 96, comma 2, 101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diritti della persona offesa; domicilio (art. 90, comma 1-bis); informazioni obbligatorie; forme della nomina del difensore; difensore della persona offesa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 (90-bis dal 17/12/2025)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C.p.p., art. 122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procura speciale: atto pubblico o scrittura privata autenticata, oggetto e fatti, a pena di inammissibilità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30/12/2022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C.p.p., art. 153-bis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domicilio del querelante, anche PEC; notificazioni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 dal 30/12/2022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art. 172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computo dei termini processuali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30/12/2022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art. 111-bis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deposito telematico; atti che le parti e la persona offesa compiono personalmente anche in forma non telematica (comma 4)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4/4/2024</w:t>
            </w:r>
          </w:p>
        </w:tc>
      </w:tr>
      <w:tr>
        <w:trPr>
          <w:cantSplit w:val="false"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D.m. giustizia 29 dicembre 2023, n. 217, art. 3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dal 1° gennaio 2025 il deposito da parte dei soggetti abilitati esterni (i difensori) presso procura della Repubblica presso il tribunale, sezione GIP e tribunale «ha luogo esclusivamente con modalità telematiche» (comma 1); le deroghe transitorie (commi 2-4) sono scadute; la PEC dell'art. 87-bis d.lgs. 150/2022 resta solo dove è ammesso il deposito non telematico (comma 9)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30/6/2026 (letto su Normattiva)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Disp. att. c.p.p., art. 33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domicilio della persona offesa che ha nominato un difensore «si intende eletto presso quest'ultimo»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artt. 333, 335, 336, 337, 338, 339, 340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denuncia; registro e comunicazioni; querela; forme; curatore speciale; rinuncia; remissione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 (335 dal 25/2/2026)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C.p.p., artt. 408, 409, 410, 410-bis, 411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archiviazione: avviso, opposizione, udienza, nullità e reclamo, tenuità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 (408 dal 4/4/2024)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art. 129-bis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giustizia riparativa; sospensione per i reati a querela rimettibile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 dal 4/4/2024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C.p.p., artt. 427 e 542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condanna del querelante a spese e danni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 (art. 427 con le sentenze della Corte cost. n. 180 e n. 423 del 1993)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Disp. att. c.p.p., art. 39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autenticazione della sottoscrizione anche da parte del difensore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D.lgs. 150/2022, art. 85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regime transitorio per i reati divenuti procedibili a querela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vigente, testo dal 31/7/2025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L. 742/1969, artt. 1 e 2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sospensione feriale nel processo penale, anche per i termini delle indagini preliminari, con eccezioni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vigenti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D.P.R. 115/2002, art. 76, commi 1 e 4-ter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patrocinio a spese dello Stato; ammissione in deroga ai limiti di reddito per le vittime di alcuni reati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  <w:tr>
        <w:trPr>
          <w:cantSplit/>
        </w:trPr>
        <w:tc>
          <w:tcPr>
            <w:tcW w:type="dxa" w:w="2373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L. 60/2023, art. 1</w:t>
            </w:r>
          </w:p>
        </w:tc>
        <w:tc>
          <w:tcPr>
            <w:tcW w:type="dxa" w:w="407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procedibilità sempre d'ufficio per i delitti aggravati ex artt. 270-bis.1 e 416-bis.1 c.p.</w:t>
            </w:r>
          </w:p>
        </w:tc>
        <w:tc>
          <w:tcPr>
            <w:tcW w:type="dxa" w:w="318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vigente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3. Termini e scadenze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2245"/>
        <w:gridCol w:w="2237"/>
        <w:gridCol w:w="3441"/>
        <w:gridCol w:w="1715"/>
      </w:tblGrid>
      <w:tr>
        <w:trPr>
          <w:cantSplit/>
          <w:tblHeader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Chi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Che cosa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Entro quando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 si sbaglia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Proporre la querela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 mesi dal giorno della notizia del fatto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che costituisce reato (art. 124, comma 1, c.p.)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Improcedibilità; archiviazione (art. 411 c.p.p.)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 (atti persecutori)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Proporre la querela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 mesi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(art. 612-bis c.p.)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Idem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 (violenza sessuale, artt. 609-bis e 609-ter)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Proporre la querela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12 mesi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; querela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irrevocabile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(art. 609-septies c.p.)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Idem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Curatore speciale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Proporre la querela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termine decorre dalla notifica del provvedimento di nomina (art. 338, comma 1, c.p.p.)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 che ha chiesto l'avviso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Opporsi alla richiesta di archiviazione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notifica dell'avviso (art. 408, comma 3);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per i delitti commessi con violenza alla persona e per il furto in abitazione o con strappo (art. 624-bis c.p.), per i quali l'avviso è notificato in ogni caso (comma 3-bis)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giudice può archiviare con decreto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Opporsi all'archiviazione per particolare tenuità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10 giorni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; l'opposizione indica, a pena di inammissibilità, «le ragioni del dissenso» (art. 411, comma 1-bis)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Idem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Reclamo contro il decreto di archiviazione nullo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15 giorni dalla conoscenza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del provvedimento, al tribunale in composizione monocratica (art. 410-bis, comma 3)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Provvedimento definitivo</w:t>
            </w:r>
          </w:p>
        </w:tc>
      </w:tr>
      <w:tr>
        <w:trPr>
          <w:cantSplit/>
        </w:trPr>
        <w:tc>
          <w:tcPr>
            <w:tcW w:type="dxa" w:w="224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</w:t>
            </w:r>
          </w:p>
        </w:tc>
        <w:tc>
          <w:tcPr>
            <w:tcW w:type="dxa" w:w="2237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Chiedere informazioni sullo stato del procedimento</w:t>
            </w:r>
          </w:p>
        </w:tc>
        <w:tc>
          <w:tcPr>
            <w:tcW w:type="dxa" w:w="3441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decorsi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 mesi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dalla querela (art. 335, comma 3-ter)</w:t>
            </w:r>
          </w:p>
        </w:tc>
        <w:tc>
          <w:tcPr>
            <w:tcW w:type="dxa" w:w="1715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0" w:before="0" w:line="120"/>
      </w:pP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Come si contano i tre mesi.</w:t>
      </w:r>
      <w:r>
        <w:rPr>
          <w:rFonts w:ascii="Calibri" w:cs="Calibri" w:eastAsia="Calibri" w:hAnsi="Calibri"/>
          <w:sz w:val="21"/>
          <w:szCs w:val="21"/>
        </w:rPr>
        <w:t xml:space="preserve"> Si osserva il calendario comune e non si computa il giorno della decorrenza (art. 14 c.p.). La regola sulla proroga al giorno non festivo dell'art. 172, comma 3, c.p.p. riguarda i «termini processuali» stabiliti a giorni; il termine dell'art. 124 è fissato dal codice penale, a mesi: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non contate su alcuna proroga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Corpo"/>
        <w:keepNext/>
        <w:spacing w:after="100" w:before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Sospensione feriale: dove si applica e dove no.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Termine per la querela: no.</w:t>
      </w:r>
      <w:r>
        <w:rPr>
          <w:rFonts w:ascii="Calibri" w:cs="Calibri" w:eastAsia="Calibri" w:hAnsi="Calibri"/>
          <w:sz w:val="21"/>
          <w:szCs w:val="21"/>
        </w:rPr>
        <w:t xml:space="preserve"> L'art. 1 della l. 742/1969 sospende il «decorso dei termini processuali»; il termine dell'art. 124 è stabilito dal codice penale. Agosto si conta.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Termine per l'opposizione all'archiviazione: sì, di regola.</w:t>
      </w:r>
      <w:r>
        <w:rPr>
          <w:rFonts w:ascii="Calibri" w:cs="Calibri" w:eastAsia="Calibri" w:hAnsi="Calibri"/>
          <w:sz w:val="21"/>
          <w:szCs w:val="21"/>
        </w:rPr>
        <w:t xml:space="preserve"> È un termine processuale della fase delle indagini preliminari, e l'art. 2 della l. 742/1969 precisa che in materia penale la sospensione riguarda anche i termini «stabiliti per la fase delle indagini preliminari». Eccezioni: non opera per le indagini preliminari nei procedimenti per reati di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criminalità organizzata</w:t>
      </w:r>
      <w:r>
        <w:rPr>
          <w:rFonts w:ascii="Calibri" w:cs="Calibri" w:eastAsia="Calibri" w:hAnsi="Calibri"/>
          <w:sz w:val="21"/>
          <w:szCs w:val="21"/>
        </w:rPr>
        <w:t xml:space="preserve">, né nei procedimenti con imputati in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custodia cautelare</w:t>
      </w:r>
      <w:r>
        <w:rPr>
          <w:rFonts w:ascii="Calibri" w:cs="Calibri" w:eastAsia="Calibri" w:hAnsi="Calibri"/>
          <w:sz w:val="21"/>
          <w:szCs w:val="21"/>
        </w:rPr>
        <w:t xml:space="preserve"> che vi rinunzino (art. 2, primo comma). Il computo segue l'art. 172 c.p.p. (giorno iniziale escluso, ultimo incluso; proroga se l'ultimo giorno è festivo).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Esempio 1 – Querela che attraversa agosto.</w:t>
      </w:r>
      <w:r>
        <w:rPr>
          <w:rFonts w:ascii="Calibri" w:cs="Calibri" w:eastAsia="Calibri" w:hAnsi="Calibri"/>
          <w:sz w:val="21"/>
          <w:szCs w:val="21"/>
        </w:rPr>
        <w:t xml:space="preserve"> La persona offesa ha notizia del fatto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domenica 20 giugno 2027</w:t>
      </w:r>
      <w:r>
        <w:rPr>
          <w:rFonts w:ascii="Calibri" w:cs="Calibri" w:eastAsia="Calibri" w:hAnsi="Calibri"/>
          <w:sz w:val="21"/>
          <w:szCs w:val="21"/>
        </w:rPr>
        <w:t xml:space="preserve">. Tre mesi: il termine scade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lunedì 20 settembre 2027</w:t>
      </w:r>
      <w:r>
        <w:rPr>
          <w:rFonts w:ascii="Calibri" w:cs="Calibri" w:eastAsia="Calibri" w:hAnsi="Calibri"/>
          <w:sz w:val="21"/>
          <w:szCs w:val="21"/>
        </w:rPr>
        <w:t xml:space="preserve">. Agosto non sospende nulla.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Esempio 2 – Fine mese.</w:t>
      </w:r>
      <w:r>
        <w:rPr>
          <w:rFonts w:ascii="Calibri" w:cs="Calibri" w:eastAsia="Calibri" w:hAnsi="Calibri"/>
          <w:sz w:val="21"/>
          <w:szCs w:val="21"/>
        </w:rPr>
        <w:t xml:space="preserve"> Notizia del fatto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lunedì 30 novembre 2026</w:t>
      </w:r>
      <w:r>
        <w:rPr>
          <w:rFonts w:ascii="Calibri" w:cs="Calibri" w:eastAsia="Calibri" w:hAnsi="Calibri"/>
          <w:sz w:val="21"/>
          <w:szCs w:val="21"/>
        </w:rPr>
        <w:t xml:space="preserve">. Il codice penale non dice che cosa accade quando il mese di scadenza non ha il giorno corrispondente (il 30 febbraio). Per prudenza considerate scadente il termine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domenica 28 febbraio 2027</w:t>
      </w:r>
      <w:r>
        <w:rPr>
          <w:rFonts w:ascii="Calibri" w:cs="Calibri" w:eastAsia="Calibri" w:hAnsi="Calibri"/>
          <w:sz w:val="21"/>
          <w:szCs w:val="21"/>
        </w:rPr>
        <w:t xml:space="preserve"> e presentate la querela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entro venerdì 26 febbraio 2027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Esempio 3 – Opposizione notificata a luglio.</w:t>
      </w:r>
      <w:r>
        <w:rPr>
          <w:rFonts w:ascii="Calibri" w:cs="Calibri" w:eastAsia="Calibri" w:hAnsi="Calibri"/>
          <w:sz w:val="21"/>
          <w:szCs w:val="21"/>
        </w:rPr>
        <w:t xml:space="preserve"> Avviso della richiesta di archiviazione notificato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venerdì 16 luglio 2027</w:t>
      </w:r>
      <w:r>
        <w:rPr>
          <w:rFonts w:ascii="Calibri" w:cs="Calibri" w:eastAsia="Calibri" w:hAnsi="Calibri"/>
          <w:sz w:val="21"/>
          <w:szCs w:val="21"/>
        </w:rPr>
        <w:t xml:space="preserve">, termine di venti giorni. Senza sospensione scadrebbe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giovedì 5 agosto 2027</w:t>
      </w:r>
      <w:r>
        <w:rPr>
          <w:rFonts w:ascii="Calibri" w:cs="Calibri" w:eastAsia="Calibri" w:hAnsi="Calibri"/>
          <w:sz w:val="21"/>
          <w:szCs w:val="21"/>
        </w:rPr>
        <w:t xml:space="preserve">. Con la sospensione feriale: dal 17 al 31 luglio decorrono 15 giorni, i restanti 5 dal 1° settembre, con scadenza domenica 5 settembre prorogata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lunedì 6 settembre 2027</w:t>
      </w:r>
      <w:r>
        <w:rPr>
          <w:rFonts w:ascii="Calibri" w:cs="Calibri" w:eastAsia="Calibri" w:hAnsi="Calibri"/>
          <w:sz w:val="21"/>
          <w:szCs w:val="21"/>
        </w:rPr>
        <w:t xml:space="preserve"> (art. 172, comma 3, c.p.p.). Se potete, depositate entro il 5 agosto: chiudete la questione e non dipendete dalla qualificazione del procedimento.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Fatti anteriori al 30 dicembre 2022.</w:t>
      </w:r>
      <w:r>
        <w:rPr>
          <w:rFonts w:ascii="Calibri" w:cs="Calibri" w:eastAsia="Calibri" w:hAnsi="Calibri"/>
          <w:sz w:val="21"/>
          <w:szCs w:val="21"/>
        </w:rPr>
        <w:t xml:space="preserve"> Per i reati divenuti procedibili a querela con il d.lgs. 150/2022 e commessi prima della sua entrata in vigore, il termine decorreva da quella data se la persona offesa aveva già notizia del fatto (art. 85, comma 1): oggi questi termini sono scaduti. L'unico caso particolare è quello toccato dalla Corte costituzionale con la sentenza n. 123 del 2025 (dispositivo riportato nella nota di Normattiva all'art. 85): per gli atti persecutori connessi con un danneggiamento su cose esposte alla pubblica fede commesso prima dell'entrata in vigore del d.lgs. 31/2024, il comma 2-ter è illegittimo e i termini dei commi 1 e 2 decorrevano dalla pubblicazione della sentenza in Gazzetta Ufficiale (30 luglio 2025): anche quei tre mesi sono scaduti.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4. Costi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Presentare la querela non costa nulla</w:t>
      </w:r>
      <w:r>
        <w:rPr>
          <w:rFonts w:ascii="Calibri" w:cs="Calibri" w:eastAsia="Calibri" w:hAnsi="Calibri"/>
          <w:sz w:val="21"/>
          <w:szCs w:val="21"/>
        </w:rPr>
        <w:t xml:space="preserve"> in termini di contributi o diritti.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Patrocinio a spese dello Stato</w:t>
      </w:r>
      <w:r>
        <w:rPr>
          <w:rFonts w:ascii="Calibri" w:cs="Calibri" w:eastAsia="Calibri" w:hAnsi="Calibri"/>
          <w:sz w:val="21"/>
          <w:szCs w:val="21"/>
        </w:rPr>
        <w:t xml:space="preserve">: la persona offesa può chiederlo se il reddito imponibile non supera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13.659,64 euro</w:t>
      </w:r>
      <w:r>
        <w:rPr>
          <w:rFonts w:ascii="Calibri" w:cs="Calibri" w:eastAsia="Calibri" w:hAnsi="Calibri"/>
          <w:sz w:val="21"/>
          <w:szCs w:val="21"/>
        </w:rPr>
        <w:t xml:space="preserve"> (art. 76, comma 1, d.P.R. 115/2002, importo aggiornato dal d.m. 22 aprile 2025); la persona offesa dai reati degli artt. 572, 575 aggravato ex art. 577, primo comma, n. 1, e 577-bis (tentati), 583-bis, 609-bis, 609-quater, 609-octies e 612-bis c.p., e, se commessi in danno di minori, di altri reati elencati, «può essere ammessa al patrocinio anche in deroga ai limiti di reddito» (art. 76, comma 4-ter). La polizia giudiziaria e il PM devono informarla di questa possibilità (art. 101, comma 1, c.p.p.; art. 90-bis, lett. d).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Rischio di spese a carico del querelante</w:t>
      </w:r>
      <w:r>
        <w:rPr>
          <w:rFonts w:ascii="Calibri" w:cs="Calibri" w:eastAsia="Calibri" w:hAnsi="Calibri"/>
          <w:sz w:val="21"/>
          <w:szCs w:val="21"/>
        </w:rPr>
        <w:t xml:space="preserve">: se il procedimento per un reato a querela si chiude con sentenza di non luogo a procedere o di assoluzione perché il fatto non sussiste o l'imputato non lo ha commesso, il giudice condanna il querelante alle spese anticipate dallo Stato (art. 427, comma 1; art. 542 c.p.p.), ma — dopo la sentenza della Corte costituzionale n. 423/1993 (letta nel corpus Chiostro) — non «in assenza di qualsiasi colpa a questi ascrivibile nell'esercizio del diritto di querela»; su domanda, può condannarlo anche alle spese dell'imputato, compensabili per giusti motivi (comma 2), e, se c'è colpa grave, ai danni (comma 3).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Remissione</w:t>
      </w:r>
      <w:r>
        <w:rPr>
          <w:rFonts w:ascii="Calibri" w:cs="Calibri" w:eastAsia="Calibri" w:hAnsi="Calibri"/>
          <w:sz w:val="21"/>
          <w:szCs w:val="21"/>
        </w:rPr>
        <w:t xml:space="preserve">: le spese del procedimento sono a carico del querelato, salvo diverso accordo nell'atto di remissione (art. 340, comma 4, c.p.p.).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5. Lista di controllo prima della presentazione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Il reato è davvero a querela?</w:t>
      </w:r>
      <w:r>
        <w:rPr>
          <w:rFonts w:ascii="Calibri" w:cs="Calibri" w:eastAsia="Calibri" w:hAnsi="Calibri"/>
          <w:sz w:val="21"/>
          <w:szCs w:val="21"/>
        </w:rPr>
        <w:t xml:space="preserve"> Leggete l'articolo nel testo vigente (§ 9): molti regimi sono cambiati dal 2022 e alcuni dopo (testi in vigore dal 2024, 2025, 2026). Verificate anche le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eccezioni di procedibilità d'ufficio</w:t>
      </w:r>
      <w:r>
        <w:rPr>
          <w:rFonts w:ascii="Calibri" w:cs="Calibri" w:eastAsia="Calibri" w:hAnsi="Calibri"/>
          <w:sz w:val="21"/>
          <w:szCs w:val="21"/>
        </w:rPr>
        <w:t xml:space="preserve"> (persona incapace, aggravanti, connessione, art. 416-bis.1 o 270-bis.1).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Data della notizia del fatto</w:t>
      </w:r>
      <w:r>
        <w:rPr>
          <w:rFonts w:ascii="Calibri" w:cs="Calibri" w:eastAsia="Calibri" w:hAnsi="Calibri"/>
          <w:sz w:val="21"/>
          <w:szCs w:val="21"/>
        </w:rPr>
        <w:t xml:space="preserve">: quando e come la persona offesa l'ha saputo; conservate la prova (messaggi, referti, denuncia di smarrimento, estratto conto).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Termine</w:t>
      </w:r>
      <w:r>
        <w:rPr>
          <w:rFonts w:ascii="Calibri" w:cs="Calibri" w:eastAsia="Calibri" w:hAnsi="Calibri"/>
          <w:sz w:val="21"/>
          <w:szCs w:val="21"/>
        </w:rPr>
        <w:t xml:space="preserve"> calcolato (3, 6 o 12 mesi) e margine di sicurezza.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Chi propone</w:t>
      </w:r>
      <w:r>
        <w:rPr>
          <w:rFonts w:ascii="Calibri" w:cs="Calibri" w:eastAsia="Calibri" w:hAnsi="Calibri"/>
          <w:sz w:val="21"/>
          <w:szCs w:val="21"/>
        </w:rPr>
        <w:t xml:space="preserve">: persona offesa personalmente; rappresentante dell'incapace; legale rappresentante dell'ente con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indicazione specifica della fonte dei poteri</w:t>
      </w:r>
      <w:r>
        <w:rPr>
          <w:rFonts w:ascii="Calibri" w:cs="Calibri" w:eastAsia="Calibri" w:hAnsi="Calibri"/>
          <w:sz w:val="21"/>
          <w:szCs w:val="21"/>
        </w:rPr>
        <w:t xml:space="preserve"> (art. 337, comma 3).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Strada scelta dall'avvocato</w:t>
      </w:r>
      <w:r>
        <w:rPr>
          <w:rFonts w:ascii="Calibri" w:cs="Calibri" w:eastAsia="Calibri" w:hAnsi="Calibri"/>
          <w:sz w:val="21"/>
          <w:szCs w:val="21"/>
        </w:rPr>
        <w:t xml:space="preserve">: (a) firma della persona offesa autenticata dal difensore; (b) querela del difensore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procuratore speciale</w:t>
      </w:r>
      <w:r>
        <w:rPr>
          <w:rFonts w:ascii="Calibri" w:cs="Calibri" w:eastAsia="Calibri" w:hAnsi="Calibri"/>
          <w:sz w:val="21"/>
          <w:szCs w:val="21"/>
        </w:rPr>
        <w:t xml:space="preserve"> con procura conforme all'art. 122 c.p.p. (v. § 7, nota 1).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Domicilio</w:t>
      </w:r>
      <w:r>
        <w:rPr>
          <w:rFonts w:ascii="Calibri" w:cs="Calibri" w:eastAsia="Calibri" w:hAnsi="Calibri"/>
          <w:sz w:val="21"/>
          <w:szCs w:val="21"/>
        </w:rPr>
        <w:t xml:space="preserve">: dichiarato o eletto, eventualmente PEC (art. 153-bis, comma 1). Se nominate un difensore, il querelante è domiciliato presso di lui (art. 90-bis, lett. a-quinquies).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Richiesta di avviso dell'archiviazione</w:t>
      </w:r>
      <w:r>
        <w:rPr>
          <w:rFonts w:ascii="Calibri" w:cs="Calibri" w:eastAsia="Calibri" w:hAnsi="Calibri"/>
          <w:sz w:val="21"/>
          <w:szCs w:val="21"/>
        </w:rPr>
        <w:t xml:space="preserve"> (art. 408, comma 2)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delle iscrizioni</w:t>
      </w:r>
      <w:r>
        <w:rPr>
          <w:rFonts w:ascii="Calibri" w:cs="Calibri" w:eastAsia="Calibri" w:hAnsi="Calibri"/>
          <w:sz w:val="21"/>
          <w:szCs w:val="21"/>
        </w:rPr>
        <w:t xml:space="preserve"> (art. 335, comma 3).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Nomina del difensore</w:t>
      </w:r>
      <w:r>
        <w:rPr>
          <w:rFonts w:ascii="Calibri" w:cs="Calibri" w:eastAsia="Calibri" w:hAnsi="Calibri"/>
          <w:sz w:val="21"/>
          <w:szCs w:val="21"/>
        </w:rPr>
        <w:t xml:space="preserve"> della persona offesa (art. 101 c.p.p., nelle forme dell'art. 96, comma 2).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Allegati</w:t>
      </w:r>
      <w:r>
        <w:rPr>
          <w:rFonts w:ascii="Calibri" w:cs="Calibri" w:eastAsia="Calibri" w:hAnsi="Calibri"/>
          <w:sz w:val="21"/>
          <w:szCs w:val="21"/>
        </w:rPr>
        <w:t xml:space="preserve">: documenti, referti, fotografie, screenshot con dati di estrazione, nominativi dei testimoni.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Avvertenze al cliente</w:t>
      </w:r>
      <w:r>
        <w:rPr>
          <w:rFonts w:ascii="Calibri" w:cs="Calibri" w:eastAsia="Calibri" w:hAnsi="Calibri"/>
          <w:sz w:val="21"/>
          <w:szCs w:val="21"/>
        </w:rPr>
        <w:t xml:space="preserve"> firmate (§ 8): comparire come testimone; non fare accordi «tombali» prima del termine se vuole mantenere la querela; conseguenze di una querela infondata.</w:t>
      </w:r>
    </w:p>
    <w:p>
      <w:pPr>
        <w:pStyle w:val="Corpo"/>
        <w:spacing w:after="70" w:line="264"/>
        <w:ind w:left="425" w:hanging="425"/>
        <w:jc w:val="lef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Deposito</w:t>
      </w:r>
      <w:r>
        <w:rPr>
          <w:rFonts w:ascii="Calibri" w:cs="Calibri" w:eastAsia="Calibri" w:hAnsi="Calibri"/>
          <w:sz w:val="21"/>
          <w:szCs w:val="21"/>
        </w:rPr>
        <w:t xml:space="preserve">: a PM o ufficiale di polizia giudiziaria (art. 333, comma 2, richiamato dall'art. 337, comma 1), o per incaricato o raccomandata con firma autenticata.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è il difensore a depositarla presso la procura della Repubblica presso il tribunale, il deposito è solo telematico</w:t>
      </w:r>
      <w:r>
        <w:rPr>
          <w:rFonts w:ascii="Calibri" w:cs="Calibri" w:eastAsia="Calibri" w:hAnsi="Calibri"/>
          <w:sz w:val="21"/>
          <w:szCs w:val="21"/>
        </w:rPr>
        <w:t xml:space="preserve">, tramite il portale del deposito atti penali (art. 111-bis c.p.p.; art. 3, comma 1, d.m. 217/2023, in vigore dal 1° gennaio 2025): niente carta, niente PEC (la PEC dell'art. 87-bis d.lgs. 150/2022 vale solo dove il cartaceo è ancora ammesso). La procura speciale si deposita in copia informatica autenticata con firma digitale, conservando l'originale (art. 122, comma 2-bis). La persona offesa che agisce personalmente può depositare anche in forma non telematica (art. 111-bis, comma 4), e la presentazione a un ufficiale di polizia giudiziaria resta sempre possibile.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6. I modelli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none" w:color="FFFFFF" w:sz="0"/>
              <w:left w:val="single" w:color="2F6A4A" w:sz="24"/>
              <w:bottom w:val="none" w:color="FFFFFF" w:sz="0"/>
              <w:right w:val="none" w:color="FFFFFF" w:sz="0"/>
            </w:tcBorders>
            <w:shd w:fill="E3EBE6" w:color="auto" w:val="clear"/>
            <w:tcMar>
              <w:top w:type="dxa" w:w="120"/>
              <w:left w:type="dxa" w:w="220"/>
              <w:bottom w:type="dxa" w:w="70"/>
              <w:right w:type="dxa" w:w="200"/>
            </w:tcMar>
          </w:tcPr>
          <w:p>
            <w:pPr>
              <w:pStyle w:val="Corpo"/>
              <w:spacing w:after="60" w:line="264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Campi da compilare tra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[parentesi quadre]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; varianti alternative tra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⟦ ⟧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</w:tr>
    </w:tbl>
    <w:p>
      <w:pPr>
        <w:spacing w:after="0" w:before="0" w:line="120"/>
      </w:pP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Modello A — Atto di querela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1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«Modello A — Atto di querela»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Modello B — Procura speciale per proporre querela (art. 122 c.p.p.)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2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«Modello B — Procura speciale per proporre querela (art. 122 c.p.p.)»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Nella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querela proposta dal procuratore speciale</w:t>
      </w:r>
      <w:r>
        <w:rPr>
          <w:rFonts w:ascii="Calibri" w:cs="Calibri" w:eastAsia="Calibri" w:hAnsi="Calibri"/>
          <w:sz w:val="21"/>
          <w:szCs w:val="21"/>
        </w:rPr>
        <w:t xml:space="preserve"> (variante del Modello A), l'intestazione diventa: «L'avv. [____], quale procuratore speciale di [persona offesa], giusta procura speciale del [data] che si allega (art. 122 c.p.p.), PROPONE QUERELA …». La procura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 unita agli atti</w:t>
      </w:r>
      <w:r>
        <w:rPr>
          <w:rFonts w:ascii="Calibri" w:cs="Calibri" w:eastAsia="Calibri" w:hAnsi="Calibri"/>
          <w:sz w:val="21"/>
          <w:szCs w:val="21"/>
        </w:rPr>
        <w:t xml:space="preserve"> (art. 122, comma 1).</w:t>
      </w: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Modello C — Opposizione alla richiesta di archiviazione (art. 410 c.p.p.)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3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«Modello C — Opposizione alla richiesta di archiviazione (art. 410 c.p.p.)»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Heading3"/>
      </w:pPr>
      <w:r>
        <w:rPr>
          <w:rFonts w:ascii="Calibri" w:cs="Calibri" w:eastAsia="Calibri" w:hAnsi="Calibri"/>
          <w:b/>
          <w:bCs/>
        </w:rPr>
        <w:t xml:space="preserve">Modello D — Remissione della querela e accettazione (artt. 152 c.p., 340 c.p.p.)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4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«Modello D — Remissione della querela e accettazione (artt. 152 c.p., 340 c.p.p.)»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7. Note di compilazione</w:t>
      </w:r>
    </w:p>
    <w:p>
      <w:pPr>
        <w:pStyle w:val="Corpo"/>
        <w:keepNext w:val="false"/>
        <w:spacing w:after="100" w:line="264"/>
        <w:jc w:val="left"/>
      </w:pPr>
      <w:bookmarkStart w:name="nota_1" w:id="7"/>
      <w:r>
        <w:rPr>
          <w:rFonts w:ascii="Calibri" w:cs="Calibri" w:eastAsia="Calibri" w:hAnsi="Calibri"/>
          <w:b/>
          <w:bCs/>
          <w:sz w:val="21"/>
          <w:szCs w:val="21"/>
        </w:rPr>
        <w:t xml:space="preserve">(1) A chi si presenta.</w:t>
      </w:r>
      <w:bookmarkEnd w:id="7"/>
      <w:r>
        <w:rPr>
          <w:rFonts w:ascii="Calibri" w:cs="Calibri" w:eastAsia="Calibri" w:hAnsi="Calibri"/>
          <w:sz w:val="21"/>
          <w:szCs w:val="21"/>
        </w:rPr>
        <w:t xml:space="preserve"> Alle autorità alle quali si può presentare denuncia — pubblico ministero o ufficiale di polizia giudiziaria — o a un agente consolare all'estero (art. 337, comma 1, che rinvia all'art. 333, comma 2). Con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sottoscrizione autentica</w:t>
      </w:r>
      <w:r>
        <w:rPr>
          <w:rFonts w:ascii="Calibri" w:cs="Calibri" w:eastAsia="Calibri" w:hAnsi="Calibri"/>
          <w:sz w:val="21"/>
          <w:szCs w:val="21"/>
        </w:rPr>
        <w:t xml:space="preserve"> può essere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recapitata da un incaricato o spedita per posta in piego raccomandato</w:t>
      </w:r>
      <w:r>
        <w:rPr>
          <w:rFonts w:ascii="Calibri" w:cs="Calibri" w:eastAsia="Calibri" w:hAnsi="Calibri"/>
          <w:sz w:val="21"/>
          <w:szCs w:val="21"/>
        </w:rPr>
        <w:t xml:space="preserve"> (art. 337, comma 1). L'autorità che la riceve attesta data e luogo, identifica chi la propone e la trasmette al PM (comma 4).</w:t>
      </w:r>
    </w:p>
    <w:p>
      <w:pPr>
        <w:pStyle w:val="Corpo"/>
        <w:keepNext w:val="false"/>
        <w:spacing w:after="100" w:line="264"/>
        <w:jc w:val="left"/>
      </w:pPr>
      <w:bookmarkStart w:name="nota_2" w:id="8"/>
      <w:r>
        <w:rPr>
          <w:rFonts w:ascii="Calibri" w:cs="Calibri" w:eastAsia="Calibri" w:hAnsi="Calibri"/>
          <w:b/>
          <w:bCs/>
          <w:sz w:val="21"/>
          <w:szCs w:val="21"/>
        </w:rPr>
        <w:t xml:space="preserve">(2) Enti.</w:t>
      </w:r>
      <w:bookmarkEnd w:id="8"/>
      <w:r>
        <w:rPr>
          <w:rFonts w:ascii="Calibri" w:cs="Calibri" w:eastAsia="Calibri" w:hAnsi="Calibri"/>
          <w:sz w:val="21"/>
          <w:szCs w:val="21"/>
        </w:rPr>
        <w:t xml:space="preserve"> La querela del legale rappresentante di una persona giuridica, ente o associazione «deve contenere la indicazione specifica della fonte dei poteri di rappresentanza» (art. 337, comma 3): citate la clausola statutaria o la delibera e allegatela.</w:t>
      </w:r>
    </w:p>
    <w:p>
      <w:pPr>
        <w:pStyle w:val="Corpo"/>
        <w:keepNext w:val="false"/>
        <w:spacing w:after="100" w:line="264"/>
        <w:jc w:val="left"/>
      </w:pPr>
      <w:bookmarkStart w:name="nota_3" w:id="9"/>
      <w:r>
        <w:rPr>
          <w:rFonts w:ascii="Calibri" w:cs="Calibri" w:eastAsia="Calibri" w:hAnsi="Calibri"/>
          <w:b/>
          <w:bCs/>
          <w:sz w:val="21"/>
          <w:szCs w:val="21"/>
        </w:rPr>
        <w:t xml:space="preserve">(3) I fatti.</w:t>
      </w:r>
      <w:bookmarkEnd w:id="9"/>
      <w:r>
        <w:rPr>
          <w:rFonts w:ascii="Calibri" w:cs="Calibri" w:eastAsia="Calibri" w:hAnsi="Calibri"/>
          <w:sz w:val="21"/>
          <w:szCs w:val="21"/>
        </w:rPr>
        <w:t xml:space="preserve"> Scrivete come un verbale: date, luoghi, persone, documenti. La qualificazione giuridica è dell'autorità giudiziaria; la vostra serve a orientare.</w:t>
      </w:r>
    </w:p>
    <w:p>
      <w:pPr>
        <w:pStyle w:val="Corpo"/>
        <w:keepNext w:val="false"/>
        <w:spacing w:after="100" w:line="264"/>
        <w:jc w:val="left"/>
      </w:pPr>
      <w:bookmarkStart w:name="nota_4" w:id="10"/>
      <w:r>
        <w:rPr>
          <w:rFonts w:ascii="Calibri" w:cs="Calibri" w:eastAsia="Calibri" w:hAnsi="Calibri"/>
          <w:b/>
          <w:bCs/>
          <w:sz w:val="21"/>
          <w:szCs w:val="21"/>
        </w:rPr>
        <w:t xml:space="preserve">(4) La data della notizia.</w:t>
      </w:r>
      <w:bookmarkEnd w:id="10"/>
      <w:r>
        <w:rPr>
          <w:rFonts w:ascii="Calibri" w:cs="Calibri" w:eastAsia="Calibri" w:hAnsi="Calibri"/>
          <w:sz w:val="21"/>
          <w:szCs w:val="21"/>
        </w:rPr>
        <w:t xml:space="preserve"> È il dies a quo dei tre mesi (art. 124). Se la persona offesa ha saputo del fatto dopo che è avvenuto, ditelo e documentatelo. Il testo parla di «notizia del fatto che costituisce il reato»: se occorra anche la conoscenza dell'autore, la norma non lo dice.</w:t>
      </w:r>
    </w:p>
    <w:p>
      <w:pPr>
        <w:pStyle w:val="Corpo"/>
        <w:keepNext w:val="false"/>
        <w:spacing w:after="100" w:line="264"/>
        <w:jc w:val="left"/>
      </w:pPr>
      <w:bookmarkStart w:name="nota_5" w:id="11"/>
      <w:r>
        <w:rPr>
          <w:rFonts w:ascii="Calibri" w:cs="Calibri" w:eastAsia="Calibri" w:hAnsi="Calibri"/>
          <w:b/>
          <w:bCs/>
          <w:sz w:val="21"/>
          <w:szCs w:val="21"/>
        </w:rPr>
        <w:t xml:space="preserve">(5) La formula.</w:t>
      </w:r>
      <w:bookmarkEnd w:id="11"/>
      <w:r>
        <w:rPr>
          <w:rFonts w:ascii="Calibri" w:cs="Calibri" w:eastAsia="Calibri" w:hAnsi="Calibri"/>
          <w:sz w:val="21"/>
          <w:szCs w:val="21"/>
        </w:rPr>
        <w:t xml:space="preserve"> La querela è la manifestazione della volontà «che si proceda» (art. 336): usate una formula espressa e attuale. Non attenuatela con riserve.</w:t>
      </w:r>
    </w:p>
    <w:p>
      <w:pPr>
        <w:pStyle w:val="Corpo"/>
        <w:keepNext w:val="false"/>
        <w:spacing w:after="100" w:line="264"/>
        <w:jc w:val="left"/>
      </w:pPr>
      <w:bookmarkStart w:name="nota_6" w:id="12"/>
      <w:r>
        <w:rPr>
          <w:rFonts w:ascii="Calibri" w:cs="Calibri" w:eastAsia="Calibri" w:hAnsi="Calibri"/>
          <w:b/>
          <w:bCs/>
          <w:sz w:val="21"/>
          <w:szCs w:val="21"/>
        </w:rPr>
        <w:t xml:space="preserve">(6) Domicilio.</w:t>
      </w:r>
      <w:bookmarkEnd w:id="12"/>
      <w:r>
        <w:rPr>
          <w:rFonts w:ascii="Calibri" w:cs="Calibri" w:eastAsia="Calibri" w:hAnsi="Calibri"/>
          <w:sz w:val="21"/>
          <w:szCs w:val="21"/>
        </w:rPr>
        <w:t xml:space="preserve"> «Il querelante, nella querela, dichiara o elegge domicilio per la comunicazione e la notificazione degli atti del procedimento. A tal fine, può dichiarare un indirizzo di posta elettronica certificata o altro servizio elettronico di recapito certificato qualificato» (art. 153-bis, comma 1). Chi non ha nominato un difensore riceve le notifiche al domicilio digitale e, nei casi dell'art. 148, comma 4, al domicilio dichiarato o eletto (comma 4); se la dichiarazione manca o è inidonea, le notifiche si fanno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mediante deposito</w:t>
      </w:r>
      <w:r>
        <w:rPr>
          <w:rFonts w:ascii="Calibri" w:cs="Calibri" w:eastAsia="Calibri" w:hAnsi="Calibri"/>
          <w:sz w:val="21"/>
          <w:szCs w:val="21"/>
        </w:rPr>
        <w:t xml:space="preserve"> in segreteria o cancelleria (comma 5): il cliente rischia di non sapere nulla dell'archiviazione. Si può dichiarare o eleggere domicilio anche dopo (comma 2) e va comunicato ogni cambio (comma 3). Se la persona offesa nomina un difensore, il suo domicilio «si intende eletto presso quest'ultimo» (art. 33 disp. att. c.p.p.): con la nomina del Modello A le notifiche arrivano allo studio.</w:t>
      </w:r>
    </w:p>
    <w:p>
      <w:pPr>
        <w:pStyle w:val="Corpo"/>
        <w:keepNext w:val="false"/>
        <w:spacing w:after="100" w:line="264"/>
        <w:jc w:val="left"/>
      </w:pPr>
      <w:bookmarkStart w:name="nota_7" w:id="13"/>
      <w:r>
        <w:rPr>
          <w:rFonts w:ascii="Calibri" w:cs="Calibri" w:eastAsia="Calibri" w:hAnsi="Calibri"/>
          <w:b/>
          <w:bCs/>
          <w:sz w:val="21"/>
          <w:szCs w:val="21"/>
        </w:rPr>
        <w:t xml:space="preserve">(7) Difensore della persona offesa.</w:t>
      </w:r>
      <w:bookmarkEnd w:id="13"/>
      <w:r>
        <w:rPr>
          <w:rFonts w:ascii="Calibri" w:cs="Calibri" w:eastAsia="Calibri" w:hAnsi="Calibri"/>
          <w:sz w:val="21"/>
          <w:szCs w:val="21"/>
        </w:rPr>
        <w:t xml:space="preserve"> La nomina si fa nelle forme dell'art. 96, comma 2, c.p.p. (art. 101): dichiarazione all'autorità, consegna dal difensore o raccomandata.</w:t>
      </w:r>
    </w:p>
    <w:p>
      <w:pPr>
        <w:pStyle w:val="Corpo"/>
        <w:keepNext w:val="false"/>
        <w:spacing w:after="100" w:line="264"/>
        <w:jc w:val="left"/>
      </w:pPr>
      <w:bookmarkStart w:name="nota_8" w:id="14"/>
      <w:r>
        <w:rPr>
          <w:rFonts w:ascii="Calibri" w:cs="Calibri" w:eastAsia="Calibri" w:hAnsi="Calibri"/>
          <w:b/>
          <w:bCs/>
          <w:sz w:val="21"/>
          <w:szCs w:val="21"/>
        </w:rPr>
        <w:t xml:space="preserve">(8) Avviso dell'archiviazione.</w:t>
      </w:r>
      <w:bookmarkEnd w:id="14"/>
      <w:r>
        <w:rPr>
          <w:rFonts w:ascii="Calibri" w:cs="Calibri" w:eastAsia="Calibri" w:hAnsi="Calibri"/>
          <w:sz w:val="21"/>
          <w:szCs w:val="21"/>
        </w:rPr>
        <w:t xml:space="preserve"> Fuori dei casi di remissione, il PM notifica l'avviso alla persona offesa che «abbia dichiarato di volere essere informata» (art. 408, comma 2):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non lo chiedete, non arriva</w:t>
      </w:r>
      <w:r>
        <w:rPr>
          <w:rFonts w:ascii="Calibri" w:cs="Calibri" w:eastAsia="Calibri" w:hAnsi="Calibri"/>
          <w:sz w:val="21"/>
          <w:szCs w:val="21"/>
        </w:rPr>
        <w:t xml:space="preserve"> (salvo i delitti con violenza alla persona e il 624-bis, per i quali l'avviso è dovuto in ogni caso: comma 3-bis). Il decreto di archiviazione emesso senza l'avviso dovuto, o prima della scadenza del termine, è nullo, e si può reclamare entro quindici giorni dalla conoscenza (art. 410-bis).</w:t>
      </w:r>
    </w:p>
    <w:p>
      <w:pPr>
        <w:pStyle w:val="Corpo"/>
        <w:keepNext/>
        <w:spacing w:after="100" w:before="100" w:line="264"/>
        <w:jc w:val="left"/>
      </w:pPr>
      <w:bookmarkStart w:name="nota_9" w:id="15"/>
      <w:r>
        <w:rPr>
          <w:rFonts w:ascii="Calibri" w:cs="Calibri" w:eastAsia="Calibri" w:hAnsi="Calibri"/>
          <w:b/>
          <w:bCs/>
          <w:sz w:val="21"/>
          <w:szCs w:val="21"/>
        </w:rPr>
        <w:t xml:space="preserve">(9) Le due strade dell'avvocato.</w:t>
      </w:r>
      <w:bookmarkEnd w:id="15"/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(a) Firma autenticata.</w:t>
      </w:r>
      <w:r>
        <w:rPr>
          <w:rFonts w:ascii="Calibri" w:cs="Calibri" w:eastAsia="Calibri" w:hAnsi="Calibri"/>
          <w:sz w:val="21"/>
          <w:szCs w:val="21"/>
        </w:rPr>
        <w:t xml:space="preserve"> La persona offesa firma la querela e il difensore ne autentica la sottoscrizione (art. 39 disp. att. c.p.p.: l'autenticazione può essere effettuata anche «dal difensore»); per prudenza la nomina del difensore va nello stesso atto, come nel Modello A. L'atto può poi essere presentato dalla persona offesa a un ufficiale di polizia giudiziaria, recapitato da un incaricato o spedito per raccomandata (art. 337, comma 1); se lo deposita il difensore in procura, il deposito è solo telematico (art. 3, comma 1, d.m. 217/2023). È la strada più semplice.</w:t>
      </w:r>
    </w:p>
    <w:p>
      <w:pPr>
        <w:pStyle w:val="Corpo"/>
        <w:numPr>
          <w:ilvl w:val="0"/>
          <w:numId w:val="5"/>
        </w:numPr>
        <w:spacing w:after="60" w:line="264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(b) Procuratore speciale.</w:t>
      </w:r>
      <w:r>
        <w:rPr>
          <w:rFonts w:ascii="Calibri" w:cs="Calibri" w:eastAsia="Calibri" w:hAnsi="Calibri"/>
          <w:sz w:val="21"/>
          <w:szCs w:val="21"/>
        </w:rPr>
        <w:t xml:space="preserve"> La querela si propone anche «a mezzo di procuratore speciale» (art. 336). La procura deve essere rilasciata,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 pena di inammissibilità</w:t>
      </w:r>
      <w:r>
        <w:rPr>
          <w:rFonts w:ascii="Calibri" w:cs="Calibri" w:eastAsia="Calibri" w:hAnsi="Calibri"/>
          <w:sz w:val="21"/>
          <w:szCs w:val="21"/>
        </w:rPr>
        <w:t xml:space="preserve">, per atto pubblico o scrittura privata autenticata, e deve contenere «la determinazione dell'oggetto per cui è conferita e dei fatti ai quali si riferisce»; se è rilasciata al difensore per scrittura privata, la sottoscrizione può essere autenticata dal difensore medesimo; la procura è unita agli atti (art. 122, comma 1).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Non è ammessa ratifica</w:t>
      </w:r>
      <w:r>
        <w:rPr>
          <w:rFonts w:ascii="Calibri" w:cs="Calibri" w:eastAsia="Calibri" w:hAnsi="Calibri"/>
          <w:sz w:val="21"/>
          <w:szCs w:val="21"/>
        </w:rPr>
        <w:t xml:space="preserve"> degli atti compiuti senza procura speciale quando questa è richiesta (comma 3). Presso la procura della Repubblica presso il tribunale il difensore deposita querela e procura solo con modalità telematiche (art. 111-bis; art. 3, comma 1, d.m. 217/2023, dal 1° gennaio 2025), la procura in copia informatica autenticata con firma digitale (art. 122, comma 2-bis). La persona offesa che agisce personalmente può comunque depositare anche in forma non telematica (art. 111-bis, comma 4).</w:t>
      </w:r>
    </w:p>
    <w:p>
      <w:pPr>
        <w:pStyle w:val="Corpo"/>
        <w:keepNext w:val="false"/>
        <w:spacing w:after="100" w:line="264"/>
        <w:jc w:val="left"/>
      </w:pPr>
      <w:bookmarkStart w:name="nota_10" w:id="16"/>
      <w:r>
        <w:rPr>
          <w:rFonts w:ascii="Calibri" w:cs="Calibri" w:eastAsia="Calibri" w:hAnsi="Calibri"/>
          <w:b/>
          <w:bCs/>
          <w:sz w:val="21"/>
          <w:szCs w:val="21"/>
        </w:rPr>
        <w:t xml:space="preserve">(10) Procura: fatti specifici.</w:t>
      </w:r>
      <w:bookmarkEnd w:id="16"/>
      <w:r>
        <w:rPr>
          <w:rFonts w:ascii="Calibri" w:cs="Calibri" w:eastAsia="Calibri" w:hAnsi="Calibri"/>
          <w:sz w:val="21"/>
          <w:szCs w:val="21"/>
        </w:rPr>
        <w:t xml:space="preserve"> Una procura generica («per tutte le querele») espone all'inammissibilità: indicate il fatto con data, luogo e condotta.</w:t>
      </w:r>
    </w:p>
    <w:p>
      <w:pPr>
        <w:pStyle w:val="Corpo"/>
        <w:keepNext w:val="false"/>
        <w:spacing w:after="100" w:line="264"/>
        <w:jc w:val="left"/>
      </w:pPr>
      <w:bookmarkStart w:name="nota_11" w:id="17"/>
      <w:r>
        <w:rPr>
          <w:rFonts w:ascii="Calibri" w:cs="Calibri" w:eastAsia="Calibri" w:hAnsi="Calibri"/>
          <w:b/>
          <w:bCs/>
          <w:sz w:val="21"/>
          <w:szCs w:val="21"/>
        </w:rPr>
        <w:t xml:space="preserve">(11) Opposizione.</w:t>
      </w:r>
      <w:bookmarkEnd w:id="17"/>
      <w:r>
        <w:rPr>
          <w:rFonts w:ascii="Calibri" w:cs="Calibri" w:eastAsia="Calibri" w:hAnsi="Calibri"/>
          <w:sz w:val="21"/>
          <w:szCs w:val="21"/>
        </w:rPr>
        <w:t xml:space="preserve"> L'opposizione deve indicare,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 pena di inammissibilità</w:t>
      </w:r>
      <w:r>
        <w:rPr>
          <w:rFonts w:ascii="Calibri" w:cs="Calibri" w:eastAsia="Calibri" w:hAnsi="Calibri"/>
          <w:sz w:val="21"/>
          <w:szCs w:val="21"/>
        </w:rPr>
        <w:t xml:space="preserve">, «l'oggetto della investigazione suppletiva e i relativi elementi di prova» (art. 410, comma 1). Il difensore la deposita solo con modalità telematiche (art. 3, comma 1, d.m. 217/2023: procura e sezione GIP); il deposito telematico è tempestivo se accettato dal sistema entro le ore 24 dell'ultimo giorno (art. 172, comma 6-bis, c.p.p.). Non basta dissentire dalla valutazione del PM: dovete indicare quali atti di indagine mancano e che cosa proverebbero. Per la tenuità del fatto (art. 411, comma 1-bis) bastano invece «le ragioni del dissenso», entro dieci giorni.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8. Avvertenze da far firmare al cliente</w:t>
      </w:r>
    </w:p>
    <w:p>
      <w:pPr>
        <w:pStyle w:val="Corpo"/>
        <w:pBdr>
          <w:left w:val="single" w:color="2F6A4A" w:sz="18" w:space="8"/>
        </w:pBdr>
        <w:shd w:fill="F5F4F0" w:color="auto" w:val="clear"/>
        <w:spacing w:after="120" w:before="40" w:line="264"/>
      </w:pPr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Il testo da compilare è nella prima parte del documento: </w:t>
      </w:r>
      <w:hyperlink w:history="1" w:anchor="modello_5">
        <w:r>
          <w:rPr>
            <w:rFonts w:ascii="Calibri" w:cs="Calibri" w:eastAsia="Calibri" w:hAnsi="Calibri"/>
            <w:b/>
            <w:bCs/>
            <w:color w:val="2F6A4A"/>
            <w:sz w:val="20"/>
            <w:szCs w:val="20"/>
            <w:u w:val="single" w:color="2F6A4A"/>
          </w:rPr>
          <w:t xml:space="preserve">«Avvertenze da far firmare al cliente»</w:t>
        </w:r>
      </w:hyperlink>
      <w:r>
        <w:rPr>
          <w:rFonts w:ascii="Calibri" w:cs="Calibri" w:eastAsia="Calibri" w:hAnsi="Calibri"/>
          <w:i/>
          <w:iCs/>
          <w:color w:val="4F5654"/>
          <w:sz w:val="20"/>
          <w:szCs w:val="20"/>
        </w:rPr>
        <w:t xml:space="preserve">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9. Regime di procedibilità verificato al 18/10/2026 (elenco non esaustivo)</w:t>
      </w:r>
    </w:p>
    <w:p>
      <w:pPr>
        <w:pStyle w:val="Corpo"/>
        <w:keepNext w:val="false"/>
        <w:spacing w:after="100" w:line="264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Testi letti su Normattiva. Gli articoli contrassegnati con † sono stati modificati dall'art. 2 del d.lgs. 150/2022 (letto), quasi sempre proprio nella clausola di procedibilità. Per tutti vale, in aggiunta, la procedibilità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sempre d'ufficio</w:t>
      </w:r>
      <w:r>
        <w:rPr>
          <w:rFonts w:ascii="Calibri" w:cs="Calibri" w:eastAsia="Calibri" w:hAnsi="Calibri"/>
          <w:sz w:val="21"/>
          <w:szCs w:val="21"/>
        </w:rPr>
        <w:t xml:space="preserve"> se ricorre l'aggravante della finalità di terrorismo (art. 270-bis.1, primo comma) o del metodo mafioso (art. 416-bis.1, primo comma) (l. 60/2023).</w:t>
      </w:r>
    </w:p>
    <w:tbl>
      <w:tblPr>
        <w:tblW w:type="dxa" w:w="9638"/>
        <w:tblBorders>
          <w:top w:val="single" w:color="D9DAD2" w:sz="4"/>
          <w:left w:val="none" w:color="FFFFFF" w:sz="0"/>
          <w:bottom w:val="single" w:color="D9DAD2" w:sz="4"/>
          <w:right w:val="none" w:color="FFFFFF" w:sz="0"/>
          <w:insideH w:val="single" w:color="D9DAD2" w:sz="4"/>
          <w:insideV w:val="none" w:color="FFFFFF" w:sz="0"/>
        </w:tblBorders>
        <w:tblLayout w:type="fixed"/>
      </w:tblPr>
      <w:tblGrid>
        <w:gridCol w:w="2518"/>
        <w:gridCol w:w="2252"/>
        <w:gridCol w:w="2518"/>
        <w:gridCol w:w="2350"/>
      </w:tblGrid>
      <w:tr>
        <w:trPr>
          <w:cantSplit/>
          <w:tblHeader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Articolo c.p. (testo in vigore dal)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Regime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 procede d'ufficio quando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2F554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581 Percosse (24/9/2020)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ricorre l'aggravante dell'art. 61, n. 11-octies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582 Lesione personale † (25/4/2026)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aggravanti degli artt. 583, 583-quater, secondo comma, primo periodo, e terzo comma, e 585,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eccetto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quelle dell'art. 577, primo comma, n. 1, e secondo comma; malattia oltre venti giorni contro persona incapace per età o infermità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590-bis Lesioni stradali o nautiche gravi o gravissime † (14/12/2024)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 ricorre alcuna delle aggravanti dell'articolo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595 Diffamazione (1/7/1931)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 (art. 597)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art. 597 (testo dal 6/2/2016)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605 Sequestro di persona, primo comma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fatto contro persona incapace per età o infermità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solo l'ipotesi del primo comma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610 Violenza privata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incapace; aggravante del secondo comma (condizioni dell'art. 339)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612 Minaccia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minaccia nei modi dell'art. 339; minaccia grave con aggravanti a effetto speciale diverse dalla recidiva; persona offesa incapace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612-bis Atti persecutori (17/12/2025)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querela,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 mesi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fatto contro minore o persona con disabilità (art. 3 l. 104/1992); connessione con delitto procedibile d'ufficio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remissione solo processuale; irrevocabile con minacce reiterate ex art. 612, secondo comma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609-bis e 609-ter Violenza sessuale (art. 609-septies, 9/8/2019)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querela,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12 mesi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casi dell'art. 609-septies (minore di diciotto anni, ascendente o affidatario, pubblico ufficiale, connessione, ecc.)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querela irrevocabile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614 Violazione di domicilio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violenza alle persone; colpevole palesemente armato; violenza sulle cose contro persona incapace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615, secondo comma, Violazione di domicilio del pubblico ufficiale senza formalità (9/5/2018)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aggravanti a effetto speciale (art. 623-ter †)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624 Furto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 incapace; aggravanti dell'art. 625, n. 7 (salvo cose esposte alla pubblica fede) e n. 7-bis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il furto in abitazione e con strappo (art. 624-bis) è autonomo e non prevede la querela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626 Furti minori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l'art. 626 non si applica se concorre una delle circostanze dei numeri 1-4 dell'art. 625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631, 632, 637, 639 (usurpazione; deviazione di acque; ingresso abusivo nel fondo; deturpamento e imbrattamento, primo comma)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art. 639: nei casi del secondo comma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633 Invasione di terreni o edifici (18/12/2018)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più di cinque persone; persona palesemente armata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634 Turbativa violenta del possesso † (31/12/2022)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persona offesa incapace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635 Danneggiamento † (12/4/2025)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 nei casi del primo comma e del secondo comma, n. 1, limitatamente alle cose esposte alla pubblica fede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fatto in occasione del delitto dell'art. 331; persona offesa incapace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640 Truffa † (12/4/2025)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circostanze del secondo comma,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eccetto</w:t>
            </w: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il n. 2-ter (truffa a distanza con strumenti che ostacolano l'identificazione), e del terzo comma (art. 61, n. 5)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v. punto incerto 4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640-ter Frode informatica † (30/12/2022)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circostanze del secondo comma (tra cui il trasferimento di denaro, valore monetario o valuta virtuale) e del terzo comma (furto o indebito utilizzo dell'identità digitale); art. 61, n. 5, limitatamente alle circostanze di persona, anche in riferimento all'età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646 Appropriazione indebita (28/3/2024)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 i fatti del secondo comma (cose possedute a titolo di deposito necessario) o aggravati dall'art. 61, n. 11: se ricorrono aggravanti a effetto speciale diverse dalla recidiva o la persona offesa è incapace (art. 649-bis †)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 w:val="false"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649 Fatti contro congiunti (11/2/2017)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 i fatti del titolo XIII commessi contro coniuge legalmente separato (o parte dell'unione civile nei casi previsti), fratello o sorella non conviventi, zio, nipote o affine in secondo grado conviventi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contro il coniuge non separato e altri congiunti indicati: non punibilità. L'art. 649 (non punibilità e querela) non si applica a rapina, estorsione, sequestro di persona a scopo di estorsione (artt. 628, 629, 630) e a ogni altro delitto contro il patrimonio commesso con violenza alle persone (terzo comma)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570 Violazione degli obblighi di assistenza familiare (7/2/2014)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casi del n. 1 e, se il reato è commesso verso minori, del n. 2 del comma precedente la clausola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388 Mancata esecuzione dolosa di un provvedimento del giudice (9/12/2023)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 nei casi indicati dall'articolo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leggete il comma</w:t>
            </w:r>
          </w:p>
        </w:tc>
      </w:tr>
      <w:tr>
        <w:trPr>
          <w:cantSplit/>
        </w:trPr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393 Esercizio arbitrario delle proprie ragioni con violenza alle persone (1/7/1931)</w:t>
            </w:r>
          </w:p>
        </w:tc>
        <w:tc>
          <w:tcPr>
            <w:tcW w:type="dxa" w:w="2252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 querela dell'offeso</w:t>
            </w:r>
          </w:p>
        </w:tc>
        <w:tc>
          <w:tcPr>
            <w:tcW w:type="dxa" w:w="2518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2350"/>
            <w:tcBorders>
              <w:top w:val="single" w:color="D9DAD2" w:sz="4"/>
              <w:left w:val="none" w:color="FFFFFF" w:sz="0"/>
              <w:bottom w:val="single" w:color="D9DAD2" w:sz="4"/>
              <w:right w:val="none" w:color="FFFFFF" w:sz="0"/>
            </w:tcBorders>
            <w:shd w:fill="F7F6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pStyle w:val="Tabella"/>
              <w:keepNext w:val="false"/>
              <w:spacing w:after="0" w:before="0" w:line="252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0" w:before="0" w:line="120"/>
      </w:pP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10. Errori frequenti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Contare la sospensione feriale sul termine di querela.</w:t>
      </w:r>
      <w:r>
        <w:rPr>
          <w:rFonts w:ascii="Calibri" w:cs="Calibri" w:eastAsia="Calibri" w:hAnsi="Calibri"/>
          <w:sz w:val="21"/>
          <w:szCs w:val="21"/>
        </w:rPr>
        <w:t xml:space="preserve">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agosto si conta (§ 3).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Querela senza dichiarazione o elezione di domicilio.</w:t>
      </w:r>
      <w:r>
        <w:rPr>
          <w:rFonts w:ascii="Calibri" w:cs="Calibri" w:eastAsia="Calibri" w:hAnsi="Calibri"/>
          <w:sz w:val="21"/>
          <w:szCs w:val="21"/>
        </w:rPr>
        <w:t xml:space="preserve"> Le notifiche finiscono in segreteria (art. 153-bis, comma 5).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Modello A, sezione domicilio.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Non chiedere l'avviso dell'archiviazione.</w:t>
      </w:r>
      <w:r>
        <w:rPr>
          <w:rFonts w:ascii="Calibri" w:cs="Calibri" w:eastAsia="Calibri" w:hAnsi="Calibri"/>
          <w:sz w:val="21"/>
          <w:szCs w:val="21"/>
        </w:rPr>
        <w:t xml:space="preserve">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art. 408, comma 2, nella querela.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4.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Procura speciale generica o non autenticata.</w:t>
      </w:r>
      <w:r>
        <w:rPr>
          <w:rFonts w:ascii="Calibri" w:cs="Calibri" w:eastAsia="Calibri" w:hAnsi="Calibri"/>
          <w:sz w:val="21"/>
          <w:szCs w:val="21"/>
        </w:rPr>
        <w:t xml:space="preserve"> Inammissibilità, senza ratifica possibile (art. 122, commi 1 e 3).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Modello B, con fatti specifici.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5.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Querela dell'ente senza la fonte dei poteri</w:t>
      </w:r>
      <w:r>
        <w:rPr>
          <w:rFonts w:ascii="Calibri" w:cs="Calibri" w:eastAsia="Calibri" w:hAnsi="Calibri"/>
          <w:sz w:val="21"/>
          <w:szCs w:val="21"/>
        </w:rPr>
        <w:t xml:space="preserve"> (art. 337, comma 3).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6.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Opposizione senza oggetto delle indagini suppletive e senza elementi di prova</w:t>
      </w:r>
      <w:r>
        <w:rPr>
          <w:rFonts w:ascii="Calibri" w:cs="Calibri" w:eastAsia="Calibri" w:hAnsi="Calibri"/>
          <w:sz w:val="21"/>
          <w:szCs w:val="21"/>
        </w:rPr>
        <w:t xml:space="preserve"> (art. 410, comma 1): inammissibile.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7.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Cliente che non si presenta come testimone</w:t>
      </w:r>
      <w:r>
        <w:rPr>
          <w:rFonts w:ascii="Calibri" w:cs="Calibri" w:eastAsia="Calibri" w:hAnsi="Calibri"/>
          <w:sz w:val="21"/>
          <w:szCs w:val="21"/>
        </w:rPr>
        <w:t xml:space="preserve">: remissione tacita (art. 152).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avvertenze firmate e promemoria prima dell'udienza.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8.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Accordo transattivo prima della querela</w:t>
      </w:r>
      <w:r>
        <w:rPr>
          <w:rFonts w:ascii="Calibri" w:cs="Calibri" w:eastAsia="Calibri" w:hAnsi="Calibri"/>
          <w:sz w:val="21"/>
          <w:szCs w:val="21"/>
        </w:rPr>
        <w:t xml:space="preserve"> senza valutare la rinuncia tacita (art. 124, comma 3).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9.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Affidarsi a elenchi di reati «a querela» non aggiornati.</w:t>
      </w:r>
      <w:r>
        <w:rPr>
          <w:rFonts w:ascii="Calibri" w:cs="Calibri" w:eastAsia="Calibri" w:hAnsi="Calibri"/>
          <w:sz w:val="21"/>
          <w:szCs w:val="21"/>
        </w:rPr>
        <w:t xml:space="preserve">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testo vigente di ogni articolo (§ 9).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10.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Esposto descrittivo senza istanza di punizione.</w:t>
      </w:r>
      <w:r>
        <w:rPr>
          <w:rFonts w:ascii="Calibri" w:cs="Calibri" w:eastAsia="Calibri" w:hAnsi="Calibri"/>
          <w:sz w:val="21"/>
          <w:szCs w:val="21"/>
        </w:rPr>
        <w:t xml:space="preserve">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Rimedio:</w:t>
      </w:r>
      <w:r>
        <w:rPr>
          <w:rFonts w:ascii="Calibri" w:cs="Calibri" w:eastAsia="Calibri" w:hAnsi="Calibri"/>
          <w:sz w:val="21"/>
          <w:szCs w:val="21"/>
        </w:rPr>
        <w:t xml:space="preserve"> formula dell'art. 336.</w:t>
      </w:r>
    </w:p>
    <w:p>
      <w:pPr>
        <w:pStyle w:val="Heading2"/>
      </w:pPr>
      <w:r>
        <w:rPr>
          <w:rFonts w:ascii="Georgia" w:cs="Georgia" w:eastAsia="Georgia" w:hAnsi="Georgia"/>
          <w:b/>
          <w:bCs/>
        </w:rPr>
        <w:t xml:space="preserve">11. Punti incerti (dichiarati)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1.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Dies a quo dei tre mesi</w:t>
      </w:r>
      <w:r>
        <w:rPr>
          <w:rFonts w:ascii="Calibri" w:cs="Calibri" w:eastAsia="Calibri" w:hAnsi="Calibri"/>
          <w:sz w:val="21"/>
          <w:szCs w:val="21"/>
        </w:rPr>
        <w:t xml:space="preserve">: la legge dice «notizia del fatto»; se serva anche la conoscenza dell'autore non è scritto.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2.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Scadenza quando manca il giorno corrispondente</w:t>
      </w:r>
      <w:r>
        <w:rPr>
          <w:rFonts w:ascii="Calibri" w:cs="Calibri" w:eastAsia="Calibri" w:hAnsi="Calibri"/>
          <w:sz w:val="21"/>
          <w:szCs w:val="21"/>
        </w:rPr>
        <w:t xml:space="preserve"> (es. 30 novembre + 3 mesi): l'art. 14 c.p. non regola il caso; il formulario consiglia la data più anticipata (la stessa a cui porta, nel diritto civile, l'art. 2963, ultimo comma, c.c.: «il termine si compie con l'ultimo giorno dello stesso mese»).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3.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Proroga al giorno non festivo per il termine di querela</w:t>
      </w:r>
      <w:r>
        <w:rPr>
          <w:rFonts w:ascii="Calibri" w:cs="Calibri" w:eastAsia="Calibri" w:hAnsi="Calibri"/>
          <w:sz w:val="21"/>
          <w:szCs w:val="21"/>
        </w:rPr>
        <w:t xml:space="preserve">: l'art. 172, comma 3, c.p.p. riguarda i termini processuali a giorni; il formulario consiglia di non contarci.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4.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Rinvio dell'art. 649-bis all'«articolo 640, terzo comma»</w:t>
      </w:r>
      <w:r>
        <w:rPr>
          <w:rFonts w:ascii="Calibri" w:cs="Calibri" w:eastAsia="Calibri" w:hAnsi="Calibri"/>
          <w:sz w:val="21"/>
          <w:szCs w:val="21"/>
        </w:rPr>
        <w:t xml:space="preserve">: nel testo vigente dell'art. 640 (dal 12/4/2025) il terzo comma è l'aggravante dell'art. 61, n. 5, e la clausola di procedibilità è il quarto; il formulario riporta entrambi i testi senza risolvere il coordinamento.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5.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Applicazione del deposito telematico — risolto (revisione del 18/10/2026).</w:t>
      </w:r>
      <w:r>
        <w:rPr>
          <w:rFonts w:ascii="Calibri" w:cs="Calibri" w:eastAsia="Calibri" w:hAnsi="Calibri"/>
          <w:sz w:val="21"/>
          <w:szCs w:val="21"/>
        </w:rPr>
        <w:t xml:space="preserve"> Il regolamento c'è: art. 3, comma 1, d.m. 217/2023 (testo vigente dal 30/6/2026). Dal 1° gennaio 2025 il difensore deposita presso procura della Repubblica presso il tribunale, sezione GIP e tribunale solo con modalità telematiche; le deroghe transitorie sono scadute il 31/12/2025 (salvo intercettazioni, comma 3-bis, che riguarda i soggetti interni). Restano fuori la persona offesa che agisce personalmente (art. 111-bis, comma 4) e la presentazione a un ufficiale di polizia giudiziaria. Per gli uffici del giudice di pace il deposito telematico diventa esclusivo dal 1° gennaio 2028 (comma 5, lett. b)).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6.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Sospensione feriale sull'opposizione all'archiviazione nei procedimenti di criminalità organizzata</w:t>
      </w:r>
      <w:r>
        <w:rPr>
          <w:rFonts w:ascii="Calibri" w:cs="Calibri" w:eastAsia="Calibri" w:hAnsi="Calibri"/>
          <w:sz w:val="21"/>
          <w:szCs w:val="21"/>
        </w:rPr>
        <w:t xml:space="preserve">: l'art. 2 l. 742/1969 esclude la sospensione dei termini delle indagini preliminari; il perimetro della nozione non è definito in quella norma.</w:t>
      </w:r>
    </w:p>
    <w:p>
      <w:pPr>
        <w:pStyle w:val="Corpo"/>
        <w:spacing w:after="70" w:line="264"/>
        <w:ind w:left="425" w:hanging="425"/>
        <w:jc w:val="left"/>
      </w:pPr>
      <w:r>
        <w:rPr>
          <w:rFonts w:ascii="Calibri" w:cs="Calibri" w:eastAsia="Calibri" w:hAnsi="Calibri"/>
          <w:b/>
          <w:bCs/>
          <w:color w:val="2F5546"/>
          <w:sz w:val="21"/>
          <w:szCs w:val="21"/>
        </w:rPr>
        <w:t xml:space="preserve">7.</w:t>
      </w:r>
      <w:r>
        <w:rPr>
          <w:rFonts w:ascii="Calibri" w:cs="Calibri" w:eastAsia="Calibri" w:hAnsi="Calibri"/>
          <w:sz w:val="21"/>
          <w:szCs w:val="21"/>
        </w:rPr>
        <w:tab/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Art. 85, comma 2-ter, d.lgs. 150/2022 — risolto.</w:t>
      </w:r>
      <w:r>
        <w:rPr>
          <w:rFonts w:ascii="Calibri" w:cs="Calibri" w:eastAsia="Calibri" w:hAnsi="Calibri"/>
          <w:sz w:val="21"/>
          <w:szCs w:val="21"/>
        </w:rPr>
        <w:t xml:space="preserve"> Il dispositivo della sentenza n. 123/2025, riportato nella nota di Normattiva, riguarda solo gli atti persecutori connessi con un danneggiamento su cose esposte alla pubblica fede commesso prima del d.lgs. 31/2024; i termini decorrevano dal 30 luglio 2025 e sono scaduti (§ 3).</w:t>
      </w:r>
    </w:p>
    <w:p>
      <w:pPr>
        <w:pBdr>
          <w:bottom w:val="single" w:color="D9DAD2" w:sz="6" w:space="1"/>
        </w:pBdr>
        <w:spacing w:after="80" w:before="200"/>
      </w:pPr>
    </w:p>
    <w:p>
      <w:pPr>
        <w:pStyle w:val="Corpo"/>
        <w:spacing w:after="0" w:before="120" w:line="264"/>
        <w:jc w:val="left"/>
      </w:pPr>
      <w:r>
        <w:rPr>
          <w:rFonts w:ascii="Calibri" w:cs="Calibri" w:eastAsia="Calibri" w:hAnsi="Calibri"/>
          <w:i/>
          <w:iCs/>
          <w:color w:val="7A817E"/>
          <w:sz w:val="17"/>
          <w:szCs w:val="17"/>
        </w:rPr>
        <w:t xml:space="preserve">Aggiornato al 18/10/2026 · norme verificate su Normattiva (testo vigente) il 18/10/2026; Corte cost. n. 423/1993 letta nel corpus Chiostro; d.m. 217/2023 e disp. att. c.p.p. artt. 33 e 39 letti su Normattiva nella revisione avversaria indipendente del 18/10/2026.</w:t>
      </w:r>
    </w:p>
    <w:sectPr>
      <w:footerReference w:type="default" r:id="rId12"/>
      <w:type w:val="nextPage"/>
      <w:pgSz w:w="11906" w:h="16838" w:orient="portrait"/>
      <w:pgMar w:top="1134" w:right="1134" w:bottom="1247" w:left="1134" w:header="624" w:footer="62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072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Corpo"/>
      <w:pBdr>
        <w:top w:val="single" w:color="D9DAD2" w:sz="4" w:space="6"/>
      </w:pBdr>
      <w:tabs>
        <w:tab w:val="right" w:pos="9638"/>
      </w:tabs>
      <w:spacing w:after="0" w:before="0" w:line="240"/>
    </w:pPr>
    <w:r>
      <w:rPr>
        <w:rFonts w:ascii="Calibri" w:cs="Calibri" w:eastAsia="Calibri" w:hAnsi="Calibri"/>
        <w:color w:val="7A817E"/>
        <w:sz w:val="16"/>
        <w:szCs w:val="16"/>
      </w:rPr>
      <w:t xml:space="preserve">Formulario Chiostro — aggiornato al 18/10/2026 — chiostro.legal/formulari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color w:val="7A817E"/>
        <w:sz w:val="16"/>
        <w:szCs w:val="16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340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5" w:hanging="255"/>
      </w:pPr>
      <w:rPr>
        <w:rFonts w:ascii="Calibri" w:cs="Calibri" w:eastAsia="Calibri" w:hAnsi="Calibri"/>
        <w:color w:val="2F5546"/>
      </w:rPr>
    </w:lvl>
    <w:lvl w:ilvl="1" w15:tentative="1">
      <w:start w:val="1"/>
      <w:numFmt w:val="bullet"/>
      <w:lvlText w:val="–"/>
      <w:lvlJc w:val="left"/>
      <w:pPr>
        <w:ind w:left="794" w:hanging="255"/>
      </w:pPr>
      <w:rPr>
        <w:rFonts w:ascii="Calibri" w:cs="Calibri" w:eastAsia="Calibri" w:hAnsi="Calibri"/>
        <w:color w:val="4F565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it-IT" w:eastAsia="it-IT" w:bidi="ar-S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tto">
    <w:name w:val="Atto"/>
    <w:basedOn w:val="Normal"/>
    <w:qFormat/>
    <w:pPr>
      <w:spacing w:after="120" w:line="360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AttoRiquadro">
    <w:name w:val="Atto riquadro"/>
    <w:basedOn w:val="Normal"/>
    <w:pPr>
      <w:spacing w:after="60" w:line="276"/>
    </w:pPr>
    <w:rPr>
      <w:rFonts w:ascii="Times New Roman" w:cs="Times New Roman" w:eastAsia="Times New Roman" w:hAnsi="Times New Roman"/>
      <w:sz w:val="22"/>
      <w:szCs w:val="22"/>
    </w:rPr>
  </w:style>
  <w:style w:type="paragraph" w:styleId="DidascaliaVariante">
    <w:name w:val="Didascalia variante"/>
    <w:basedOn w:val="Normal"/>
    <w:pPr>
      <w:spacing w:after="80" w:line="240"/>
    </w:pPr>
    <w:rPr>
      <w:rFonts w:ascii="Calibri" w:cs="Calibri" w:eastAsia="Calibri" w:hAnsi="Calibri"/>
      <w:b/>
      <w:bCs/>
      <w:color w:val="4F5654"/>
      <w:sz w:val="15"/>
      <w:szCs w:val="15"/>
    </w:rPr>
  </w:style>
  <w:style w:type="paragraph" w:styleId="NotaTitolo">
    <w:name w:val="Nota in testa: titolo"/>
    <w:basedOn w:val="Normal"/>
    <w:pPr>
      <w:spacing w:after="20" w:line="240"/>
    </w:pPr>
    <w:rPr>
      <w:rFonts w:ascii="Calibri" w:cs="Calibri" w:eastAsia="Calibri" w:hAnsi="Calibri"/>
      <w:color w:val="7A817E"/>
      <w:sz w:val="16"/>
      <w:szCs w:val="16"/>
    </w:rPr>
  </w:style>
  <w:style w:type="paragraph" w:styleId="NotaTesta">
    <w:name w:val="Nota in testa"/>
    <w:basedOn w:val="Normal"/>
    <w:pPr>
      <w:spacing w:after="20" w:line="240"/>
    </w:pPr>
    <w:rPr>
      <w:rFonts w:ascii="Calibri" w:cs="Calibri" w:eastAsia="Calibri" w:hAnsi="Calibri"/>
      <w:color w:val="7A817E"/>
      <w:sz w:val="16"/>
      <w:szCs w:val="16"/>
    </w:rPr>
  </w:style>
  <w:style w:type="paragraph" w:styleId="Corpo">
    <w:name w:val="Corpo istruzioni"/>
    <w:basedOn w:val="Normal"/>
    <w:qFormat/>
    <w:pPr>
      <w:spacing w:after="100" w:line="264"/>
    </w:pPr>
    <w:rPr>
      <w:rFonts w:ascii="Calibri" w:cs="Calibri" w:eastAsia="Calibri" w:hAnsi="Calibri"/>
      <w:color w:val="16191A"/>
      <w:sz w:val="21"/>
      <w:szCs w:val="21"/>
    </w:rPr>
  </w:style>
  <w:style w:type="paragraph" w:styleId="Tabella">
    <w:name w:val="Testo tabella"/>
    <w:basedOn w:val="Normal"/>
    <w:pPr>
      <w:spacing w:after="0" w:line="252"/>
    </w:pPr>
    <w:rPr>
      <w:rFonts w:ascii="Calibri" w:cs="Calibri" w:eastAsia="Calibri" w:hAnsi="Calibri"/>
      <w:color w:val="16191A"/>
      <w:sz w:val="18"/>
      <w:szCs w:val="18"/>
    </w:rPr>
  </w:style>
  <w:style w:type="paragraph" w:styleId="ListParagraph">
    <w:name w:val="List Paragraph"/>
    <w:basedOn w:val="Normal"/>
    <w:qFormat/>
    <w:pPr>
      <w:spacing w:after="60" w:line="264"/>
    </w:pPr>
    <w:rPr>
      <w:rFonts w:ascii="Calibri" w:cs="Calibri" w:eastAsia="Calibri" w:hAnsi="Calibri"/>
      <w:sz w:val="21"/>
      <w:szCs w:val="21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Georgia" w:cs="Georgia" w:eastAsia="Georgia" w:hAnsi="Georgia"/>
      <w:b/>
      <w:bCs/>
      <w:color w:val="16191A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140" w:before="60" w:line="276"/>
    </w:pPr>
    <w:rPr>
      <w:rFonts w:ascii="Georgia" w:cs="Georgia" w:eastAsia="Georgia" w:hAnsi="Georgia"/>
      <w:color w:val="16191A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Georgia" w:cs="Georgia" w:eastAsia="Georgia" w:hAnsi="Georgia"/>
      <w:b/>
      <w:bCs/>
      <w:color w:val="2F5546"/>
      <w:sz w:val="48"/>
      <w:szCs w:val="48"/>
    </w:rPr>
  </w:style>
  <w:style w:type="paragraph" w:styleId="Heading2">
    <w:name w:val="heading 2"/>
    <w:basedOn w:val="Normal"/>
    <w:next w:val="Corpo"/>
    <w:qFormat/>
    <w:pPr>
      <w:keepNext/>
      <w:pBdr>
        <w:bottom w:val="single" w:color="D9DAD2" w:sz="4" w:space="3"/>
      </w:pBdr>
      <w:spacing w:after="120" w:before="360"/>
      <w:outlineLvl w:val="1"/>
    </w:pPr>
    <w:rPr>
      <w:rFonts w:ascii="Georgia" w:cs="Georgia" w:eastAsia="Georgia" w:hAnsi="Georgia"/>
      <w:b/>
      <w:bCs/>
      <w:color w:val="2F5546"/>
      <w:sz w:val="28"/>
      <w:szCs w:val="28"/>
    </w:rPr>
  </w:style>
  <w:style w:type="paragraph" w:styleId="Heading3">
    <w:name w:val="heading 3"/>
    <w:basedOn w:val="Normal"/>
    <w:next w:val="Corpo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16191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querela</dc:title>
  <dc:subject>Formulario Chiostro</dc:subject>
  <dc:creator>Chiostro</dc:creator>
  <dc:language>it-IT</dc:language>
  <cp:keywords>formulario, modello, atto, Chiostro</cp:keywords>
  <dc:description>Formulario Chiostro — aggiornato al 18/10/2026 — chiostro.legal/formulari</dc:description>
  <cp:lastModifiedBy>Chiostro</cp:lastModifiedBy>
  <cp:revision>1</cp:revision>
  <dcterms:created xsi:type="dcterms:W3CDTF">2026-10-18T22:38:38.295Z</dcterms:created>
  <dcterms:modified xsi:type="dcterms:W3CDTF">2026-10-18T22:38:38.295Z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