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NotaTitolo"/>
        <w:keepNext/>
        <w:spacing w:after="20" w:before="0" w:line="240"/>
        <w:jc w:val="left"/>
      </w:pPr>
      <w:bookmarkStart w:name="modello_1" w:id="1"/>
      <w:r>
        <w:rPr>
          <w:rFonts w:ascii="Calibri" w:cs="Calibri" w:eastAsia="Calibri" w:hAnsi="Calibri"/>
          <w:b/>
          <w:bCs/>
          <w:color w:val="7A817E"/>
          <w:spacing w:val="8"/>
          <w:sz w:val="16"/>
          <w:szCs w:val="16"/>
        </w:rPr>
        <w:t xml:space="preserve">MODELLO A — LETTERA DI IMPUGNAZIONE STRAGIUDIZIALE DEL LICENZIAMENTO (ART. 6 L. 604/1966)</w:t>
      </w:r>
      <w:bookmarkEnd w:id="1"/>
    </w:p>
    <w:p>
      <w:pPr>
        <w:pStyle w:val="NotaTesta"/>
        <w:keepNext/>
        <w:spacing w:after="20" w:before="0" w:line="240"/>
        <w:jc w:val="left"/>
      </w:pPr>
      <w:r>
        <w:rPr>
          <w:rFonts w:ascii="Calibri" w:cs="Calibri" w:eastAsia="Calibri" w:hAnsi="Calibri"/>
          <w:color w:val="7A817E"/>
          <w:sz w:val="16"/>
          <w:szCs w:val="16"/>
        </w:rPr>
        <w:t xml:space="preserve">Bozza da adattare al caso concreto e da sottoscrivere dal difensore</w:t>
      </w:r>
    </w:p>
    <w:p>
      <w:pPr>
        <w:pStyle w:val="NotaTesta"/>
        <w:keepNext/>
        <w:pBdr>
          <w:bottom w:val="single" w:color="D9DAD2" w:sz="4" w:space="6"/>
        </w:pBdr>
        <w:spacing w:after="200" w:before="0" w:line="240"/>
        <w:jc w:val="left"/>
      </w:pPr>
      <w:r>
        <w:rPr>
          <w:rFonts w:ascii="Calibri" w:cs="Calibri" w:eastAsia="Calibri" w:hAnsi="Calibri"/>
          <w:color w:val="7A817E"/>
          <w:sz w:val="16"/>
          <w:szCs w:val="16"/>
        </w:rPr>
        <w:t xml:space="preserve">Legenda: </w:t>
      </w:r>
      <w:r>
        <w:rPr>
          <w:rFonts w:ascii="Calibri" w:cs="Calibri" w:eastAsia="Calibri" w:hAnsi="Calibri"/>
          <w:color w:val="16191A"/>
          <w:sz w:val="16"/>
          <w:szCs w:val="16"/>
          <w:highlight w:val="yellow"/>
          <w:highlightCs w:val="yellow"/>
        </w:rPr>
        <w:t xml:space="preserve">campo da compilare</w:t>
      </w:r>
      <w:r>
        <w:rPr>
          <w:rFonts w:ascii="Calibri" w:cs="Calibri" w:eastAsia="Calibri" w:hAnsi="Calibri"/>
          <w:color w:val="7A817E"/>
          <w:sz w:val="16"/>
          <w:szCs w:val="16"/>
        </w:rPr>
        <w:t xml:space="preserve">  ·  </w:t>
      </w:r>
      <w:r>
        <w:rPr>
          <w:rFonts w:ascii="Calibri" w:cs="Calibri" w:eastAsia="Calibri" w:hAnsi="Calibri"/>
          <w:color w:val="16191A"/>
          <w:sz w:val="16"/>
          <w:szCs w:val="16"/>
          <w:shd w:fill="DCDCDC" w:color="auto" w:val="clear"/>
        </w:rPr>
        <w:t xml:space="preserve">variante (fondo o riquadro grigio): scegliere e cancellare le altre</w:t>
      </w:r>
    </w:p>
    <w:p>
      <w:pPr>
        <w:pStyle w:val="Atto"/>
        <w:spacing w:after="120" w:before="0" w:line="360"/>
        <w:jc w:val="both"/>
      </w:pPr>
      <w:r>
        <w:rPr>
          <w:rFonts w:ascii="Times New Roman" w:cs="Times New Roman" w:eastAsia="Times New Roman" w:hAnsi="Times New Roman"/>
          <w:sz w:val="24"/>
          <w:szCs w:val="24"/>
          <w:highlight w:val="yellow"/>
          <w:highlightCs w:val="yellow"/>
        </w:rPr>
        <w:t xml:space="preserve">[Luogo]</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highlight w:val="yellow"/>
          <w:highlightCs w:val="yellow"/>
        </w:rPr>
        <w:t xml:space="preserve">[data]</w:t>
      </w:r>
    </w:p>
    <w:p>
      <w:pPr>
        <w:pStyle w:val="Atto"/>
        <w:keepLines/>
        <w:spacing w:after="160" w:before="0" w:line="276"/>
        <w:ind w:left="3685"/>
        <w:jc w:val="left"/>
      </w:pPr>
      <w:r>
        <w:rPr>
          <w:rFonts w:ascii="Times New Roman" w:cs="Times New Roman" w:eastAsia="Times New Roman" w:hAnsi="Times New Roman"/>
          <w:sz w:val="24"/>
          <w:szCs w:val="24"/>
        </w:rPr>
        <w:t xml:space="preserve">Spett.le </w:t>
      </w:r>
      <w:r>
        <w:rPr>
          <w:rFonts w:ascii="Times New Roman" w:cs="Times New Roman" w:eastAsia="Times New Roman" w:hAnsi="Times New Roman"/>
          <w:sz w:val="24"/>
          <w:szCs w:val="24"/>
          <w:highlight w:val="yellow"/>
          <w:highlightCs w:val="yellow"/>
        </w:rPr>
        <w:t xml:space="preserve">[datore di lavoro: denominazione, C.F./P. IVA]</w:t>
      </w:r>
      <w:r>
        <w:rPr>
          <w:rFonts w:ascii="Times New Roman" w:cs="Times New Roman" w:eastAsia="Times New Roman" w:hAnsi="Times New Roman"/>
          <w:sz w:val="24"/>
          <w:szCs w:val="24"/>
        </w:rPr>
        <w:br/>
      </w:r>
      <w:r>
        <w:rPr>
          <w:rFonts w:ascii="Times New Roman" w:cs="Times New Roman" w:eastAsia="Times New Roman" w:hAnsi="Times New Roman"/>
          <w:sz w:val="24"/>
          <w:szCs w:val="24"/>
          <w:highlight w:val="yellow"/>
          <w:highlightCs w:val="yellow"/>
        </w:rPr>
        <w:t xml:space="preserve">[sede legale]</w:t>
      </w:r>
      <w:r>
        <w:rPr>
          <w:rFonts w:ascii="Times New Roman" w:cs="Times New Roman" w:eastAsia="Times New Roman" w:hAnsi="Times New Roman"/>
          <w:sz w:val="24"/>
          <w:szCs w:val="24"/>
        </w:rPr>
        <w:br/>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via PEC all'indirizzo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shd w:fill="DCDCDC" w:color="auto" w:val="clear"/>
        </w:rPr>
        <w:t xml:space="preserve"> (tratto da INI-PEC)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br/>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a mezzo raccomandata A/R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 </w:t>
      </w:r>
      <w:hyperlink w:history="1" w:anchor="nota_A2">
        <w:r>
          <w:rPr>
            <w:rFonts w:ascii="Calibri" w:cs="Calibri" w:eastAsia="Calibri" w:hAnsi="Calibri"/>
            <w:color w:val="7A817E"/>
            <w:sz w:val="18"/>
            <w:szCs w:val="18"/>
            <w:vertAlign w:val="superscript"/>
          </w:rPr>
          <w:t xml:space="preserve">(A2)</w:t>
        </w:r>
      </w:hyperlink>
    </w:p>
    <w:p>
      <w:pPr>
        <w:pStyle w:val="Atto"/>
        <w:spacing w:after="120" w:before="0" w:line="360"/>
        <w:ind w:left="1134" w:hanging="1134"/>
        <w:jc w:val="left"/>
      </w:pPr>
      <w:r>
        <w:rPr>
          <w:rFonts w:ascii="Times New Roman" w:cs="Times New Roman" w:eastAsia="Times New Roman" w:hAnsi="Times New Roman"/>
          <w:b/>
          <w:bCs/>
          <w:sz w:val="24"/>
          <w:szCs w:val="24"/>
        </w:rPr>
        <w:t xml:space="preserve">Oggetto:</w:t>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 xml:space="preserve">Impugnazione del licenziamento comunicato con lettera del </w:t>
      </w:r>
      <w:r>
        <w:rPr>
          <w:rFonts w:ascii="Times New Roman" w:cs="Times New Roman" w:eastAsia="Times New Roman" w:hAnsi="Times New Roman"/>
          <w:sz w:val="24"/>
          <w:szCs w:val="24"/>
          <w:highlight w:val="yellow"/>
          <w:highlightCs w:val="yellow"/>
        </w:rPr>
        <w:t xml:space="preserve">[data]</w:t>
      </w:r>
      <w:r>
        <w:rPr>
          <w:rFonts w:ascii="Times New Roman" w:cs="Times New Roman" w:eastAsia="Times New Roman" w:hAnsi="Times New Roman"/>
          <w:sz w:val="24"/>
          <w:szCs w:val="24"/>
        </w:rPr>
        <w:t xml:space="preserve">, ricevuta il </w:t>
      </w:r>
      <w:r>
        <w:rPr>
          <w:rFonts w:ascii="Times New Roman" w:cs="Times New Roman" w:eastAsia="Times New Roman" w:hAnsi="Times New Roman"/>
          <w:sz w:val="24"/>
          <w:szCs w:val="24"/>
          <w:highlight w:val="yellow"/>
          <w:highlightCs w:val="yellow"/>
        </w:rPr>
        <w:t xml:space="preserve">[data]</w:t>
      </w:r>
      <w:r>
        <w:rPr>
          <w:rFonts w:ascii="Times New Roman" w:cs="Times New Roman" w:eastAsia="Times New Roman" w:hAnsi="Times New Roman"/>
          <w:sz w:val="24"/>
          <w:szCs w:val="24"/>
        </w:rPr>
        <w:t xml:space="preserve"> (art. 6 della legge 15 luglio 1966, n. 604)</w:t>
      </w:r>
    </w:p>
    <w:p>
      <w:pPr>
        <w:pStyle w:val="Atto"/>
        <w:spacing w:after="120" w:before="0" w:line="360"/>
        <w:jc w:val="both"/>
      </w:pPr>
      <w:r>
        <w:rPr>
          <w:rFonts w:ascii="Times New Roman" w:cs="Times New Roman" w:eastAsia="Times New Roman" w:hAnsi="Times New Roman"/>
          <w:sz w:val="24"/>
          <w:szCs w:val="24"/>
        </w:rPr>
        <w:t xml:space="preserve">Il sottoscritto </w:t>
      </w:r>
      <w:r>
        <w:rPr>
          <w:rFonts w:ascii="Times New Roman" w:cs="Times New Roman" w:eastAsia="Times New Roman" w:hAnsi="Times New Roman"/>
          <w:sz w:val="24"/>
          <w:szCs w:val="24"/>
          <w:highlight w:val="yellow"/>
          <w:highlightCs w:val="yellow"/>
        </w:rPr>
        <w:t xml:space="preserve">[nome e cognome]</w:t>
      </w:r>
      <w:r>
        <w:rPr>
          <w:rFonts w:ascii="Times New Roman" w:cs="Times New Roman" w:eastAsia="Times New Roman" w:hAnsi="Times New Roman"/>
          <w:sz w:val="24"/>
          <w:szCs w:val="24"/>
        </w:rPr>
        <w:t xml:space="preserve">, nato a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il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C.F.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residente in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dipendente di codesta società dal </w:t>
      </w:r>
      <w:r>
        <w:rPr>
          <w:rFonts w:ascii="Times New Roman" w:cs="Times New Roman" w:eastAsia="Times New Roman" w:hAnsi="Times New Roman"/>
          <w:sz w:val="24"/>
          <w:szCs w:val="24"/>
          <w:highlight w:val="yellow"/>
          <w:highlightCs w:val="yellow"/>
        </w:rPr>
        <w:t xml:space="preserve">[data di assunzione]</w:t>
      </w:r>
      <w:r>
        <w:rPr>
          <w:rFonts w:ascii="Times New Roman" w:cs="Times New Roman" w:eastAsia="Times New Roman" w:hAnsi="Times New Roman"/>
          <w:sz w:val="24"/>
          <w:szCs w:val="24"/>
        </w:rPr>
        <w:t xml:space="preserve"> con mansioni di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e inquadramento </w:t>
      </w:r>
      <w:r>
        <w:rPr>
          <w:rFonts w:ascii="Times New Roman" w:cs="Times New Roman" w:eastAsia="Times New Roman" w:hAnsi="Times New Roman"/>
          <w:sz w:val="24"/>
          <w:szCs w:val="24"/>
          <w:highlight w:val="yellow"/>
          <w:highlightCs w:val="yellow"/>
        </w:rPr>
        <w:t xml:space="preserve">[livello/categoria, CCNL ____]</w:t>
      </w:r>
      <w:r>
        <w:rPr>
          <w:rFonts w:ascii="Times New Roman" w:cs="Times New Roman" w:eastAsia="Times New Roman" w:hAnsi="Times New Roman"/>
          <w:sz w:val="24"/>
          <w:szCs w:val="24"/>
        </w:rPr>
        <w:t xml:space="preserve">,</w:t>
      </w:r>
    </w:p>
    <w:p>
      <w:pPr>
        <w:pStyle w:val="Atto"/>
        <w:keepNext/>
        <w:spacing w:after="120" w:before="240" w:line="360"/>
        <w:jc w:val="center"/>
      </w:pPr>
      <w:r>
        <w:rPr>
          <w:rFonts w:ascii="Times New Roman" w:cs="Times New Roman" w:eastAsia="Times New Roman" w:hAnsi="Times New Roman"/>
          <w:b/>
          <w:bCs/>
          <w:spacing w:val="20"/>
          <w:sz w:val="24"/>
          <w:szCs w:val="24"/>
        </w:rPr>
        <w:t xml:space="preserve">IMPUGNA</w:t>
      </w:r>
    </w:p>
    <w:p>
      <w:pPr>
        <w:pStyle w:val="Atto"/>
        <w:spacing w:after="120" w:before="0" w:line="360"/>
        <w:jc w:val="both"/>
      </w:pPr>
      <w:r>
        <w:rPr>
          <w:rFonts w:ascii="Times New Roman" w:cs="Times New Roman" w:eastAsia="Times New Roman" w:hAnsi="Times New Roman"/>
          <w:sz w:val="24"/>
          <w:szCs w:val="24"/>
        </w:rPr>
        <w:t xml:space="preserve">il licenziamento intimatogli con comunicazione del </w:t>
      </w:r>
      <w:r>
        <w:rPr>
          <w:rFonts w:ascii="Times New Roman" w:cs="Times New Roman" w:eastAsia="Times New Roman" w:hAnsi="Times New Roman"/>
          <w:sz w:val="24"/>
          <w:szCs w:val="24"/>
          <w:highlight w:val="yellow"/>
          <w:highlightCs w:val="yellow"/>
        </w:rPr>
        <w:t xml:space="preserve">[data]</w:t>
      </w:r>
      <w:r>
        <w:rPr>
          <w:rFonts w:ascii="Times New Roman" w:cs="Times New Roman" w:eastAsia="Times New Roman" w:hAnsi="Times New Roman"/>
          <w:sz w:val="24"/>
          <w:szCs w:val="24"/>
        </w:rPr>
        <w:t xml:space="preserve">, ricevuta il </w:t>
      </w:r>
      <w:r>
        <w:rPr>
          <w:rFonts w:ascii="Times New Roman" w:cs="Times New Roman" w:eastAsia="Times New Roman" w:hAnsi="Times New Roman"/>
          <w:sz w:val="24"/>
          <w:szCs w:val="24"/>
          <w:highlight w:val="yellow"/>
          <w:highlightCs w:val="yellow"/>
        </w:rPr>
        <w:t xml:space="preserve">[data]</w:t>
      </w:r>
      <w:r>
        <w:rPr>
          <w:rFonts w:ascii="Times New Roman" w:cs="Times New Roman" w:eastAsia="Times New Roman" w:hAnsi="Times New Roman"/>
          <w:sz w:val="24"/>
          <w:szCs w:val="24"/>
        </w:rPr>
        <w:t xml:space="preserve"> </w:t>
      </w:r>
      <w:hyperlink w:history="1" w:anchor="nota_A3">
        <w:r>
          <w:rPr>
            <w:rFonts w:ascii="Calibri" w:cs="Calibri" w:eastAsia="Calibri" w:hAnsi="Calibri"/>
            <w:color w:val="7A817E"/>
            <w:sz w:val="18"/>
            <w:szCs w:val="18"/>
            <w:vertAlign w:val="superscript"/>
          </w:rPr>
          <w:t xml:space="preserve">(A3)</w:t>
        </w:r>
      </w:hyperlink>
      <w:r>
        <w:rPr>
          <w:rFonts w:ascii="Times New Roman" w:cs="Times New Roman" w:eastAsia="Times New Roman" w:hAnsi="Times New Roman"/>
          <w:sz w:val="24"/>
          <w:szCs w:val="24"/>
        </w:rPr>
        <w:t xml:space="preserv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e la successiva comunicazione dei motivi del </w:t>
      </w:r>
      <w:r>
        <w:rPr>
          <w:rFonts w:ascii="Times New Roman" w:cs="Times New Roman" w:eastAsia="Times New Roman" w:hAnsi="Times New Roman"/>
          <w:sz w:val="24"/>
          <w:szCs w:val="24"/>
          <w:highlight w:val="yellow"/>
          <w:highlightCs w:val="yellow"/>
        </w:rPr>
        <w:t xml:space="preserve">[data]</w:t>
      </w:r>
      <w:r>
        <w:rPr>
          <w:rFonts w:ascii="Times New Roman" w:cs="Times New Roman" w:eastAsia="Times New Roman" w:hAnsi="Times New Roman"/>
          <w:sz w:val="24"/>
          <w:szCs w:val="24"/>
          <w:shd w:fill="DCDCDC" w:color="auto" w:val="clear"/>
        </w:rPr>
        <w:t xml:space="preserve">, ricevuta il </w:t>
      </w:r>
      <w:r>
        <w:rPr>
          <w:rFonts w:ascii="Times New Roman" w:cs="Times New Roman" w:eastAsia="Times New Roman" w:hAnsi="Times New Roman"/>
          <w:sz w:val="24"/>
          <w:szCs w:val="24"/>
          <w:highlight w:val="yellow"/>
          <w:highlightCs w:val="yellow"/>
        </w:rPr>
        <w:t xml:space="preserve">[data]</w:t>
      </w:r>
      <w:r>
        <w:rPr>
          <w:rFonts w:ascii="Times New Roman" w:cs="Times New Roman" w:eastAsia="Times New Roman" w:hAnsi="Times New Roman"/>
          <w:sz w:val="24"/>
          <w:szCs w:val="24"/>
          <w:shd w:fill="DCDCDC" w:color="auto" w:val="clear"/>
        </w:rPr>
        <w:t xml:space="preserv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 in quanto illegittimo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nullo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inefficace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 per tutte le ragioni che saranno fatte valere nelle sedi competenti,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tra le quali, senza che ciò costituisca limitazione: </w:t>
      </w:r>
      <w:r>
        <w:rPr>
          <w:rFonts w:ascii="Times New Roman" w:cs="Times New Roman" w:eastAsia="Times New Roman" w:hAnsi="Times New Roman"/>
          <w:i/>
          <w:iCs/>
          <w:sz w:val="24"/>
          <w:szCs w:val="24"/>
          <w:highlight w:val="yellow"/>
          <w:highlightCs w:val="yellow"/>
        </w:rPr>
        <w:t xml:space="preserve">[es.: insussistenza del fatto contestato; mancanza di giusta causa o di giustificato motivo; violazione della procedura dell'art. 7 della legge 20 maggio 1970, n. 300; difetto di specificazione dei motivi; carattere discriminatorio/ritorsivo]</w:t>
      </w:r>
      <w:r>
        <w:rPr>
          <w:rFonts w:ascii="Times New Roman" w:cs="Times New Roman" w:eastAsia="Times New Roman" w:hAnsi="Times New Roman"/>
          <w:sz w:val="24"/>
          <w:szCs w:val="24"/>
          <w:shd w:fill="DCDCDC" w:color="auto" w:val="clear"/>
        </w:rPr>
        <w:t xml:space="preserv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 </w:t>
      </w:r>
      <w:hyperlink w:history="1" w:anchor="nota_A4">
        <w:r>
          <w:rPr>
            <w:rFonts w:ascii="Calibri" w:cs="Calibri" w:eastAsia="Calibri" w:hAnsi="Calibri"/>
            <w:color w:val="7A817E"/>
            <w:sz w:val="18"/>
            <w:szCs w:val="18"/>
            <w:vertAlign w:val="superscript"/>
          </w:rPr>
          <w:t xml:space="preserve">(A4)</w:t>
        </w:r>
      </w:hyperlink>
    </w:p>
    <w:p>
      <w:pPr>
        <w:pStyle w:val="Atto"/>
        <w:spacing w:after="120" w:before="0" w:line="360"/>
        <w:jc w:val="both"/>
      </w:pPr>
      <w:r>
        <w:rPr>
          <w:rFonts w:ascii="Times New Roman" w:cs="Times New Roman" w:eastAsia="Times New Roman" w:hAnsi="Times New Roman"/>
          <w:sz w:val="24"/>
          <w:szCs w:val="24"/>
        </w:rPr>
        <w:t xml:space="preserve">e si riserva ogni azione, anche giudiziale e cautelare, per ottenere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la reintegrazione nel posto di lavoro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 e il risarcimento di tutti i danni.</w:t>
      </w:r>
    </w:p>
    <w:tbl>
      <w:tblPr>
        <w:tblW w:type="dxa" w:w="9072"/>
        <w:tblBorders>
          <w:top w:val="single" w:color="BFBFBF" w:sz="4"/>
          <w:left w:val="single" w:color="7A817E" w:sz="18"/>
          <w:bottom w:val="single" w:color="BFBFBF" w:sz="4"/>
          <w:right w:val="single" w:color="BFBFBF" w:sz="4"/>
          <w:insideH w:val="none" w:color="FFFFFF" w:sz="0"/>
          <w:insideV w:val="none" w:color="FFFFFF" w:sz="0"/>
        </w:tblBorders>
        <w:tblLayout w:type="fixed"/>
      </w:tblPr>
      <w:tblGrid>
        <w:gridCol w:w="9072"/>
      </w:tblGrid>
      <w:tr>
        <w:trPr>
          <w:cantSplit w:val="false"/>
        </w:trPr>
        <w:tc>
          <w:tcPr>
            <w:tcW w:type="dxa" w:w="9072"/>
            <w:tcBorders>
              <w:top w:val="single" w:color="BFBFBF" w:sz="4"/>
              <w:left w:val="single" w:color="7A817E" w:sz="18"/>
              <w:bottom w:val="single" w:color="BFBFBF" w:sz="4"/>
              <w:right w:val="single" w:color="BFBFBF" w:sz="4"/>
            </w:tcBorders>
            <w:shd w:fill="F2F2F2" w:color="auto" w:val="clear"/>
            <w:tcMar>
              <w:top w:type="dxa" w:w="90"/>
              <w:left w:type="dxa" w:w="160"/>
              <w:bottom w:type="dxa" w:w="40"/>
              <w:right w:type="dxa" w:w="140"/>
            </w:tcMar>
          </w:tcPr>
          <w:p>
            <w:pPr>
              <w:pStyle w:val="DidascaliaVariante"/>
              <w:keepNext/>
              <w:spacing w:after="80" w:before="0"/>
            </w:pPr>
            <w:r>
              <w:rPr>
                <w:rFonts w:ascii="Calibri" w:cs="Calibri" w:eastAsia="Calibri" w:hAnsi="Calibri"/>
                <w:b/>
                <w:bCs/>
                <w:color w:val="4F5654"/>
                <w:spacing w:val="24"/>
                <w:sz w:val="15"/>
                <w:szCs w:val="15"/>
              </w:rPr>
              <w:t xml:space="preserve">VARIANTE — mantenere o cancellare</w:t>
            </w:r>
          </w:p>
          <w:p>
            <w:pPr>
              <w:pStyle w:val="AttoRiquadro"/>
              <w:spacing w:after="60" w:before="0" w:line="276"/>
              <w:jc w:val="left"/>
            </w:pPr>
            <w:r>
              <w:rPr>
                <w:rFonts w:ascii="Times New Roman" w:cs="Times New Roman" w:eastAsia="Times New Roman" w:hAnsi="Times New Roman"/>
                <w:sz w:val="22"/>
                <w:szCs w:val="22"/>
              </w:rPr>
              <w:t xml:space="preserve">Il sottoscritto dichiara la propria disponibilità a riprendere immediatamente servizio. </w:t>
            </w:r>
            <w:hyperlink w:history="1" w:anchor="nota_A5">
              <w:r>
                <w:rPr>
                  <w:rFonts w:ascii="Calibri" w:cs="Calibri" w:eastAsia="Calibri" w:hAnsi="Calibri"/>
                  <w:color w:val="7A817E"/>
                  <w:sz w:val="18"/>
                  <w:szCs w:val="18"/>
                  <w:vertAlign w:val="superscript"/>
                </w:rPr>
                <w:t xml:space="preserve">(A5)</w:t>
              </w:r>
            </w:hyperlink>
          </w:p>
        </w:tc>
      </w:tr>
    </w:tbl>
    <w:p>
      <w:pPr>
        <w:spacing w:after="0" w:before="0" w:line="160"/>
      </w:pPr>
    </w:p>
    <w:tbl>
      <w:tblPr>
        <w:tblW w:type="dxa" w:w="9072"/>
        <w:tblBorders>
          <w:top w:val="single" w:color="BFBFBF" w:sz="4"/>
          <w:left w:val="single" w:color="7A817E" w:sz="18"/>
          <w:bottom w:val="single" w:color="BFBFBF" w:sz="4"/>
          <w:right w:val="single" w:color="BFBFBF" w:sz="4"/>
          <w:insideH w:val="none" w:color="FFFFFF" w:sz="0"/>
          <w:insideV w:val="none" w:color="FFFFFF" w:sz="0"/>
        </w:tblBorders>
        <w:tblLayout w:type="fixed"/>
      </w:tblPr>
      <w:tblGrid>
        <w:gridCol w:w="9072"/>
      </w:tblGrid>
      <w:tr>
        <w:trPr>
          <w:cantSplit w:val="false"/>
        </w:trPr>
        <w:tc>
          <w:tcPr>
            <w:tcW w:type="dxa" w:w="9072"/>
            <w:tcBorders>
              <w:top w:val="single" w:color="BFBFBF" w:sz="4"/>
              <w:left w:val="single" w:color="7A817E" w:sz="18"/>
              <w:bottom w:val="single" w:color="BFBFBF" w:sz="4"/>
              <w:right w:val="single" w:color="BFBFBF" w:sz="4"/>
            </w:tcBorders>
            <w:shd w:fill="F2F2F2" w:color="auto" w:val="clear"/>
            <w:tcMar>
              <w:top w:type="dxa" w:w="90"/>
              <w:left w:type="dxa" w:w="160"/>
              <w:bottom w:type="dxa" w:w="40"/>
              <w:right w:type="dxa" w:w="140"/>
            </w:tcMar>
          </w:tcPr>
          <w:p>
            <w:pPr>
              <w:pStyle w:val="DidascaliaVariante"/>
              <w:keepNext/>
              <w:spacing w:after="80" w:before="0"/>
            </w:pPr>
            <w:r>
              <w:rPr>
                <w:rFonts w:ascii="Calibri" w:cs="Calibri" w:eastAsia="Calibri" w:hAnsi="Calibri"/>
                <w:b/>
                <w:bCs/>
                <w:color w:val="4F5654"/>
                <w:spacing w:val="24"/>
                <w:sz w:val="15"/>
                <w:szCs w:val="15"/>
              </w:rPr>
              <w:t xml:space="preserve">VARIANTE — mantenere o cancellare</w:t>
            </w:r>
          </w:p>
          <w:p>
            <w:pPr>
              <w:pStyle w:val="AttoRiquadro"/>
              <w:spacing w:after="60" w:before="0" w:line="276"/>
              <w:jc w:val="left"/>
            </w:pPr>
            <w:r>
              <w:rPr>
                <w:rFonts w:ascii="Times New Roman" w:cs="Times New Roman" w:eastAsia="Times New Roman" w:hAnsi="Times New Roman"/>
                <w:sz w:val="22"/>
                <w:szCs w:val="22"/>
              </w:rPr>
              <w:t xml:space="preserve">Per ogni comunicazione relativa alla presente, il sottoscritto elegge domicilio presso lo studio dell'avv. </w:t>
            </w:r>
            <w:r>
              <w:rPr>
                <w:rFonts w:ascii="Times New Roman" w:cs="Times New Roman" w:eastAsia="Times New Roman" w:hAnsi="Times New Roman"/>
                <w:sz w:val="22"/>
                <w:szCs w:val="22"/>
                <w:highlight w:val="yellow"/>
                <w:highlightCs w:val="yellow"/>
              </w:rPr>
              <w:t xml:space="preserve">[____]</w:t>
            </w:r>
            <w:r>
              <w:rPr>
                <w:rFonts w:ascii="Times New Roman" w:cs="Times New Roman" w:eastAsia="Times New Roman" w:hAnsi="Times New Roman"/>
                <w:sz w:val="22"/>
                <w:szCs w:val="22"/>
              </w:rPr>
              <w:t xml:space="preserve">, </w:t>
            </w:r>
            <w:r>
              <w:rPr>
                <w:rFonts w:ascii="Times New Roman" w:cs="Times New Roman" w:eastAsia="Times New Roman" w:hAnsi="Times New Roman"/>
                <w:sz w:val="22"/>
                <w:szCs w:val="22"/>
                <w:highlight w:val="yellow"/>
                <w:highlightCs w:val="yellow"/>
              </w:rPr>
              <w:t xml:space="preserve">[indirizzo]</w:t>
            </w:r>
            <w:r>
              <w:rPr>
                <w:rFonts w:ascii="Times New Roman" w:cs="Times New Roman" w:eastAsia="Times New Roman" w:hAnsi="Times New Roman"/>
                <w:sz w:val="22"/>
                <w:szCs w:val="22"/>
              </w:rPr>
              <w:t xml:space="preserve">, PEC </w:t>
            </w:r>
            <w:r>
              <w:rPr>
                <w:rFonts w:ascii="Times New Roman" w:cs="Times New Roman" w:eastAsia="Times New Roman" w:hAnsi="Times New Roman"/>
                <w:sz w:val="22"/>
                <w:szCs w:val="22"/>
                <w:highlight w:val="yellow"/>
                <w:highlightCs w:val="yellow"/>
              </w:rPr>
              <w:t xml:space="preserve">[____]</w:t>
            </w:r>
            <w:r>
              <w:rPr>
                <w:rFonts w:ascii="Times New Roman" w:cs="Times New Roman" w:eastAsia="Times New Roman" w:hAnsi="Times New Roman"/>
                <w:sz w:val="22"/>
                <w:szCs w:val="22"/>
              </w:rPr>
              <w:t xml:space="preserve">.</w:t>
            </w:r>
          </w:p>
        </w:tc>
      </w:tr>
    </w:tbl>
    <w:p>
      <w:pPr>
        <w:spacing w:after="0" w:before="0" w:line="160"/>
      </w:pPr>
    </w:p>
    <w:p>
      <w:pPr>
        <w:pStyle w:val="Atto"/>
        <w:spacing w:after="120" w:before="0" w:line="360"/>
        <w:jc w:val="both"/>
      </w:pPr>
      <w:r>
        <w:rPr>
          <w:rFonts w:ascii="Times New Roman" w:cs="Times New Roman" w:eastAsia="Times New Roman" w:hAnsi="Times New Roman"/>
          <w:sz w:val="24"/>
          <w:szCs w:val="24"/>
        </w:rPr>
        <w:t xml:space="preserve">Distinti saluti.</w:t>
      </w:r>
    </w:p>
    <w:p>
      <w:pPr>
        <w:pStyle w:val="Atto"/>
        <w:spacing w:after="120" w:before="0" w:line="360"/>
        <w:jc w:val="both"/>
      </w:pPr>
      <w:r>
        <w:rPr>
          <w:rFonts w:ascii="Times New Roman" w:cs="Times New Roman" w:eastAsia="Times New Roman" w:hAnsi="Times New Roman"/>
          <w:sz w:val="24"/>
          <w:szCs w:val="24"/>
          <w:highlight w:val="yellow"/>
          <w:highlightCs w:val="yellow"/>
        </w:rPr>
        <w:t xml:space="preserve">[firma del lavoratore]</w:t>
      </w:r>
    </w:p>
    <w:p>
      <w:pPr>
        <w:pStyle w:val="Atto"/>
        <w:spacing w:after="120" w:before="0" w:line="360"/>
        <w:jc w:val="both"/>
      </w:pP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Avv.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shd w:fill="DCDCDC" w:color="auto" w:val="clear"/>
        </w:rPr>
        <w:t xml:space="preserve">, anche per assistenza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 </w:t>
      </w:r>
      <w:hyperlink w:history="1" w:anchor="nota_A1">
        <w:r>
          <w:rPr>
            <w:rFonts w:ascii="Calibri" w:cs="Calibri" w:eastAsia="Calibri" w:hAnsi="Calibri"/>
            <w:color w:val="7A817E"/>
            <w:sz w:val="18"/>
            <w:szCs w:val="18"/>
            <w:vertAlign w:val="superscript"/>
          </w:rPr>
          <w:t xml:space="preserve">(A1)</w:t>
        </w:r>
      </w:hyperlink>
    </w:p>
    <w:p>
      <w:pPr>
        <w:sectPr>
          <w:footerReference w:type="default" r:id="rId7"/>
          <w:type w:val="nextPage"/>
          <w:pgSz w:w="11906" w:h="16838" w:orient="portrait"/>
          <w:pgMar w:top="1417" w:right="1417" w:bottom="1417" w:left="1417" w:header="680" w:footer="680" w:gutter="0"/>
          <w:pgNumType/>
          <w:docGrid w:linePitch="360"/>
        </w:sectPr>
      </w:pPr>
    </w:p>
    <w:p>
      <w:pPr>
        <w:pStyle w:val="NotaTitolo"/>
        <w:keepNext/>
        <w:spacing w:after="20" w:before="0" w:line="240"/>
        <w:jc w:val="left"/>
      </w:pPr>
      <w:bookmarkStart w:name="modello_2" w:id="2"/>
      <w:r>
        <w:rPr>
          <w:rFonts w:ascii="Calibri" w:cs="Calibri" w:eastAsia="Calibri" w:hAnsi="Calibri"/>
          <w:b/>
          <w:bCs/>
          <w:color w:val="7A817E"/>
          <w:spacing w:val="8"/>
          <w:sz w:val="16"/>
          <w:szCs w:val="16"/>
        </w:rPr>
        <w:t xml:space="preserve">MODELLO B — RICORSO AL TRIBUNALE IN FUNZIONE DI GIUDICE DEL LAVORO (ART. 414 C.P.C.) CON ISTANZA EX ART. 441-BIS C.P.C.</w:t>
      </w:r>
      <w:bookmarkEnd w:id="2"/>
    </w:p>
    <w:p>
      <w:pPr>
        <w:pStyle w:val="NotaTesta"/>
        <w:keepNext/>
        <w:spacing w:after="20" w:before="0" w:line="240"/>
        <w:jc w:val="left"/>
      </w:pPr>
      <w:r>
        <w:rPr>
          <w:rFonts w:ascii="Calibri" w:cs="Calibri" w:eastAsia="Calibri" w:hAnsi="Calibri"/>
          <w:color w:val="7A817E"/>
          <w:sz w:val="16"/>
          <w:szCs w:val="16"/>
        </w:rPr>
        <w:t xml:space="preserve">Bozza da adattare al caso concreto e da sottoscrivere dal difensore</w:t>
      </w:r>
    </w:p>
    <w:p>
      <w:pPr>
        <w:pStyle w:val="NotaTesta"/>
        <w:keepNext/>
        <w:pBdr>
          <w:bottom w:val="single" w:color="D9DAD2" w:sz="4" w:space="6"/>
        </w:pBdr>
        <w:spacing w:after="200" w:before="0" w:line="240"/>
        <w:jc w:val="left"/>
      </w:pPr>
      <w:r>
        <w:rPr>
          <w:rFonts w:ascii="Calibri" w:cs="Calibri" w:eastAsia="Calibri" w:hAnsi="Calibri"/>
          <w:color w:val="7A817E"/>
          <w:sz w:val="16"/>
          <w:szCs w:val="16"/>
        </w:rPr>
        <w:t xml:space="preserve">Legenda: </w:t>
      </w:r>
      <w:r>
        <w:rPr>
          <w:rFonts w:ascii="Calibri" w:cs="Calibri" w:eastAsia="Calibri" w:hAnsi="Calibri"/>
          <w:color w:val="16191A"/>
          <w:sz w:val="16"/>
          <w:szCs w:val="16"/>
          <w:highlight w:val="yellow"/>
          <w:highlightCs w:val="yellow"/>
        </w:rPr>
        <w:t xml:space="preserve">campo da compilare</w:t>
      </w:r>
      <w:r>
        <w:rPr>
          <w:rFonts w:ascii="Calibri" w:cs="Calibri" w:eastAsia="Calibri" w:hAnsi="Calibri"/>
          <w:color w:val="7A817E"/>
          <w:sz w:val="16"/>
          <w:szCs w:val="16"/>
        </w:rPr>
        <w:t xml:space="preserve">  ·  </w:t>
      </w:r>
      <w:r>
        <w:rPr>
          <w:rFonts w:ascii="Calibri" w:cs="Calibri" w:eastAsia="Calibri" w:hAnsi="Calibri"/>
          <w:color w:val="16191A"/>
          <w:sz w:val="16"/>
          <w:szCs w:val="16"/>
          <w:shd w:fill="DCDCDC" w:color="auto" w:val="clear"/>
        </w:rPr>
        <w:t xml:space="preserve">variante (fondo o riquadro grigio): scegliere e cancellare le altre</w:t>
      </w:r>
    </w:p>
    <w:p>
      <w:pPr>
        <w:pStyle w:val="Atto"/>
        <w:keepNext/>
        <w:spacing w:after="60" w:before="120" w:line="300"/>
        <w:jc w:val="center"/>
      </w:pPr>
      <w:r>
        <w:rPr>
          <w:rFonts w:ascii="Times New Roman" w:cs="Times New Roman" w:eastAsia="Times New Roman" w:hAnsi="Times New Roman"/>
          <w:b/>
          <w:bCs/>
          <w:smallCaps/>
          <w:spacing w:val="10"/>
          <w:sz w:val="26"/>
          <w:szCs w:val="26"/>
        </w:rPr>
        <w:t xml:space="preserve">Tribunale di </w:t>
      </w:r>
      <w:r>
        <w:rPr>
          <w:rFonts w:ascii="Times New Roman" w:cs="Times New Roman" w:eastAsia="Times New Roman" w:hAnsi="Times New Roman"/>
          <w:b/>
          <w:bCs/>
          <w:smallCaps/>
          <w:spacing w:val="10"/>
          <w:sz w:val="26"/>
          <w:szCs w:val="26"/>
          <w:highlight w:val="yellow"/>
          <w:highlightCs w:val="yellow"/>
        </w:rPr>
        <w:t xml:space="preserve">[____]</w:t>
      </w:r>
    </w:p>
    <w:p>
      <w:pPr>
        <w:pStyle w:val="Atto"/>
        <w:keepNext/>
        <w:spacing w:after="60" w:before="120" w:line="300"/>
        <w:jc w:val="center"/>
      </w:pPr>
      <w:r>
        <w:rPr>
          <w:rFonts w:ascii="Times New Roman" w:cs="Times New Roman" w:eastAsia="Times New Roman" w:hAnsi="Times New Roman"/>
          <w:b/>
          <w:bCs/>
          <w:smallCaps/>
          <w:spacing w:val="10"/>
          <w:sz w:val="26"/>
          <w:szCs w:val="26"/>
        </w:rPr>
        <w:t xml:space="preserve">Sezione Lavoro </w:t>
      </w:r>
      <w:hyperlink w:history="1" w:anchor="nota_B1">
        <w:r>
          <w:rPr>
            <w:rFonts w:ascii="Calibri" w:cs="Calibri" w:eastAsia="Calibri" w:hAnsi="Calibri"/>
            <w:color w:val="7A817E"/>
            <w:sz w:val="18"/>
            <w:szCs w:val="18"/>
            <w:vertAlign w:val="superscript"/>
          </w:rPr>
          <w:t xml:space="preserve">(B1)</w:t>
        </w:r>
      </w:hyperlink>
    </w:p>
    <w:p>
      <w:pPr>
        <w:pStyle w:val="Atto"/>
        <w:keepNext/>
        <w:spacing w:after="60" w:before="240" w:line="300"/>
        <w:jc w:val="center"/>
      </w:pPr>
      <w:r>
        <w:rPr>
          <w:rFonts w:ascii="Times New Roman" w:cs="Times New Roman" w:eastAsia="Times New Roman" w:hAnsi="Times New Roman"/>
          <w:b/>
          <w:bCs/>
          <w:spacing w:val="30"/>
          <w:sz w:val="30"/>
          <w:szCs w:val="30"/>
        </w:rPr>
        <w:t xml:space="preserve">RICORSO</w:t>
      </w:r>
    </w:p>
    <w:p>
      <w:pPr>
        <w:pStyle w:val="Atto"/>
        <w:spacing w:after="240" w:before="0" w:line="276"/>
        <w:jc w:val="center"/>
      </w:pPr>
      <w:r>
        <w:rPr>
          <w:rFonts w:ascii="Times New Roman" w:cs="Times New Roman" w:eastAsia="Times New Roman" w:hAnsi="Times New Roman"/>
          <w:i/>
          <w:iCs/>
          <w:sz w:val="22"/>
          <w:szCs w:val="22"/>
        </w:rPr>
        <w:t xml:space="preserve">ai sensi degli artt. 414 e 441-bis c.p.c.</w:t>
      </w:r>
    </w:p>
    <w:p>
      <w:pPr>
        <w:pStyle w:val="Atto"/>
        <w:spacing w:after="120" w:before="0" w:line="360"/>
        <w:jc w:val="both"/>
      </w:pPr>
      <w:r>
        <w:rPr>
          <w:rFonts w:ascii="Times New Roman" w:cs="Times New Roman" w:eastAsia="Times New Roman" w:hAnsi="Times New Roman"/>
          <w:sz w:val="24"/>
          <w:szCs w:val="24"/>
        </w:rPr>
        <w:t xml:space="preserve">per </w:t>
      </w:r>
      <w:r>
        <w:rPr>
          <w:rFonts w:ascii="Times New Roman" w:cs="Times New Roman" w:eastAsia="Times New Roman" w:hAnsi="Times New Roman"/>
          <w:sz w:val="24"/>
          <w:szCs w:val="24"/>
          <w:highlight w:val="yellow"/>
          <w:highlightCs w:val="yellow"/>
        </w:rPr>
        <w:t xml:space="preserve">[nome e cognome]</w:t>
      </w:r>
      <w:r>
        <w:rPr>
          <w:rFonts w:ascii="Times New Roman" w:cs="Times New Roman" w:eastAsia="Times New Roman" w:hAnsi="Times New Roman"/>
          <w:sz w:val="24"/>
          <w:szCs w:val="24"/>
        </w:rPr>
        <w:t xml:space="preserve">, nato a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il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C.F.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residente in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rappresentato e difeso, giusta procura </w:t>
      </w:r>
      <w:r>
        <w:rPr>
          <w:rFonts w:ascii="Times New Roman" w:cs="Times New Roman" w:eastAsia="Times New Roman" w:hAnsi="Times New Roman"/>
          <w:sz w:val="24"/>
          <w:szCs w:val="24"/>
          <w:highlight w:val="yellow"/>
          <w:highlightCs w:val="yellow"/>
        </w:rPr>
        <w:t xml:space="preserve">[in calce / allegata telematicamente]</w:t>
      </w:r>
      <w:r>
        <w:rPr>
          <w:rFonts w:ascii="Times New Roman" w:cs="Times New Roman" w:eastAsia="Times New Roman" w:hAnsi="Times New Roman"/>
          <w:sz w:val="24"/>
          <w:szCs w:val="24"/>
        </w:rPr>
        <w:t xml:space="preserve">, dall'avv.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(C.F.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PEC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presso il cui studio in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elegge domicilio,</w:t>
      </w:r>
    </w:p>
    <w:p>
      <w:pPr>
        <w:pStyle w:val="Atto"/>
        <w:keepLines/>
        <w:spacing w:after="160" w:before="0" w:line="276"/>
        <w:jc w:val="right"/>
      </w:pPr>
      <w:r>
        <w:rPr>
          <w:rFonts w:ascii="Times New Roman" w:cs="Times New Roman" w:eastAsia="Times New Roman" w:hAnsi="Times New Roman"/>
          <w:i/>
          <w:iCs/>
          <w:sz w:val="24"/>
          <w:szCs w:val="24"/>
        </w:rPr>
        <w:t xml:space="preserve">– ricorrente –</w:t>
      </w:r>
    </w:p>
    <w:p>
      <w:pPr>
        <w:pStyle w:val="Atto"/>
        <w:keepNext/>
        <w:spacing w:after="120" w:before="240" w:line="360"/>
        <w:jc w:val="center"/>
      </w:pPr>
      <w:r>
        <w:rPr>
          <w:rFonts w:ascii="Times New Roman" w:cs="Times New Roman" w:eastAsia="Times New Roman" w:hAnsi="Times New Roman"/>
          <w:b/>
          <w:bCs/>
          <w:spacing w:val="20"/>
          <w:sz w:val="24"/>
          <w:szCs w:val="24"/>
        </w:rPr>
        <w:t xml:space="preserve">contro</w:t>
      </w:r>
    </w:p>
    <w:p>
      <w:pPr>
        <w:pStyle w:val="Atto"/>
        <w:spacing w:after="120" w:before="0" w:line="360"/>
        <w:jc w:val="both"/>
      </w:pPr>
      <w:r>
        <w:rPr>
          <w:rFonts w:ascii="Times New Roman" w:cs="Times New Roman" w:eastAsia="Times New Roman" w:hAnsi="Times New Roman"/>
          <w:sz w:val="24"/>
          <w:szCs w:val="24"/>
          <w:highlight w:val="yellow"/>
          <w:highlightCs w:val="yellow"/>
        </w:rPr>
        <w:t xml:space="preserve">[datore: denominazione]</w:t>
      </w:r>
      <w:r>
        <w:rPr>
          <w:rFonts w:ascii="Times New Roman" w:cs="Times New Roman" w:eastAsia="Times New Roman" w:hAnsi="Times New Roman"/>
          <w:sz w:val="24"/>
          <w:szCs w:val="24"/>
        </w:rPr>
        <w:t xml:space="preserve">, C.F./P. IVA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con sede in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in persona del legale rappresentante pro tempore, PEC risultante da pubblici elenchi: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(INI-PEC) </w:t>
      </w:r>
      <w:hyperlink w:history="1" w:anchor="nota_B2">
        <w:r>
          <w:rPr>
            <w:rFonts w:ascii="Calibri" w:cs="Calibri" w:eastAsia="Calibri" w:hAnsi="Calibri"/>
            <w:color w:val="7A817E"/>
            <w:sz w:val="18"/>
            <w:szCs w:val="18"/>
            <w:vertAlign w:val="superscript"/>
          </w:rPr>
          <w:t xml:space="preserve">(B2)</w:t>
        </w:r>
      </w:hyperlink>
    </w:p>
    <w:p>
      <w:pPr>
        <w:pStyle w:val="Atto"/>
        <w:keepLines/>
        <w:spacing w:after="160" w:before="0" w:line="276"/>
        <w:jc w:val="right"/>
      </w:pPr>
      <w:r>
        <w:rPr>
          <w:rFonts w:ascii="Times New Roman" w:cs="Times New Roman" w:eastAsia="Times New Roman" w:hAnsi="Times New Roman"/>
          <w:i/>
          <w:iCs/>
          <w:sz w:val="24"/>
          <w:szCs w:val="24"/>
        </w:rPr>
        <w:t xml:space="preserve">– resistente –</w:t>
      </w:r>
    </w:p>
    <w:p>
      <w:pPr>
        <w:pStyle w:val="Atto"/>
        <w:spacing w:after="120" w:before="0" w:line="360"/>
        <w:jc w:val="both"/>
      </w:pPr>
      <w:r>
        <w:rPr>
          <w:rFonts w:ascii="Times New Roman" w:cs="Times New Roman" w:eastAsia="Times New Roman" w:hAnsi="Times New Roman"/>
          <w:b/>
          <w:bCs/>
          <w:sz w:val="24"/>
          <w:szCs w:val="24"/>
        </w:rPr>
        <w:t xml:space="preserve">OGGETTO:</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impugnazione del licenziamento intimato il </w:t>
      </w:r>
      <w:r>
        <w:rPr>
          <w:rFonts w:ascii="Times New Roman" w:cs="Times New Roman" w:eastAsia="Times New Roman" w:hAnsi="Times New Roman"/>
          <w:sz w:val="24"/>
          <w:szCs w:val="24"/>
          <w:highlight w:val="yellow"/>
          <w:highlightCs w:val="yellow"/>
        </w:rPr>
        <w:t xml:space="preserve">[data]</w:t>
      </w:r>
      <w:r>
        <w:rPr>
          <w:rFonts w:ascii="Times New Roman" w:cs="Times New Roman" w:eastAsia="Times New Roman" w:hAnsi="Times New Roman"/>
          <w:sz w:val="24"/>
          <w:szCs w:val="24"/>
        </w:rPr>
        <w:t xml:space="preserve"> – domanda di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reintegrazione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tutela indennitaria </w:t>
      </w:r>
      <w:r>
        <w:rPr>
          <w:rFonts w:ascii="Cambria Math" w:cs="Cambria Math" w:eastAsia="Cambria Math" w:hAnsi="Cambria Math"/>
          <w:color w:val="7A817E"/>
          <w:sz w:val="24"/>
          <w:szCs w:val="24"/>
        </w:rPr>
        <w:t xml:space="preserve">⟧</w:t>
      </w:r>
    </w:p>
    <w:p>
      <w:pPr>
        <w:pStyle w:val="Atto"/>
        <w:keepNext/>
        <w:spacing w:after="120" w:before="240" w:line="360"/>
        <w:jc w:val="center"/>
      </w:pPr>
      <w:r>
        <w:rPr>
          <w:rFonts w:ascii="Times New Roman" w:cs="Times New Roman" w:eastAsia="Times New Roman" w:hAnsi="Times New Roman"/>
          <w:b/>
          <w:bCs/>
          <w:spacing w:val="20"/>
          <w:sz w:val="24"/>
          <w:szCs w:val="24"/>
        </w:rPr>
        <w:t xml:space="preserve">FATTO </w:t>
      </w:r>
      <w:hyperlink w:history="1" w:anchor="nota_B3">
        <w:r>
          <w:rPr>
            <w:rFonts w:ascii="Calibri" w:cs="Calibri" w:eastAsia="Calibri" w:hAnsi="Calibri"/>
            <w:color w:val="7A817E"/>
            <w:sz w:val="18"/>
            <w:szCs w:val="18"/>
            <w:vertAlign w:val="superscript"/>
          </w:rPr>
          <w:t xml:space="preserve">(B3)</w:t>
        </w:r>
      </w:hyperlink>
    </w:p>
    <w:p>
      <w:pPr>
        <w:pStyle w:val="Atto"/>
        <w:numPr>
          <w:ilvl w:val="0"/>
          <w:numId w:val="2"/>
        </w:numPr>
        <w:spacing w:after="120" w:before="0" w:line="360"/>
        <w:ind w:left="567" w:hanging="567"/>
        <w:jc w:val="both"/>
      </w:pPr>
      <w:r>
        <w:rPr>
          <w:rFonts w:ascii="Times New Roman" w:cs="Times New Roman" w:eastAsia="Times New Roman" w:hAnsi="Times New Roman"/>
          <w:sz w:val="24"/>
          <w:szCs w:val="24"/>
        </w:rPr>
        <w:t xml:space="preserve">Il ricorrente è stato assunto dalla resistente il </w:t>
      </w:r>
      <w:r>
        <w:rPr>
          <w:rFonts w:ascii="Times New Roman" w:cs="Times New Roman" w:eastAsia="Times New Roman" w:hAnsi="Times New Roman"/>
          <w:sz w:val="24"/>
          <w:szCs w:val="24"/>
          <w:highlight w:val="yellow"/>
          <w:highlightCs w:val="yellow"/>
        </w:rPr>
        <w:t xml:space="preserve">[data]</w:t>
      </w:r>
      <w:r>
        <w:rPr>
          <w:rFonts w:ascii="Times New Roman" w:cs="Times New Roman" w:eastAsia="Times New Roman" w:hAnsi="Times New Roman"/>
          <w:sz w:val="24"/>
          <w:szCs w:val="24"/>
        </w:rPr>
        <w:t xml:space="preserve"> con contratto di lavoro subordinato a tempo indeterminato, qualifica </w:t>
      </w:r>
      <w:r>
        <w:rPr>
          <w:rFonts w:ascii="Times New Roman" w:cs="Times New Roman" w:eastAsia="Times New Roman" w:hAnsi="Times New Roman"/>
          <w:sz w:val="24"/>
          <w:szCs w:val="24"/>
          <w:highlight w:val="yellow"/>
          <w:highlightCs w:val="yellow"/>
        </w:rPr>
        <w:t xml:space="preserve">[operaio/impiegato/quadro]</w:t>
      </w:r>
      <w:r>
        <w:rPr>
          <w:rFonts w:ascii="Times New Roman" w:cs="Times New Roman" w:eastAsia="Times New Roman" w:hAnsi="Times New Roman"/>
          <w:sz w:val="24"/>
          <w:szCs w:val="24"/>
        </w:rPr>
        <w:t xml:space="preserve">, livello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del CCNL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mansioni di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presso l'unità produttiva di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(doc. 1).</w:t>
      </w:r>
    </w:p>
    <w:p>
      <w:pPr>
        <w:pStyle w:val="Atto"/>
        <w:numPr>
          <w:ilvl w:val="0"/>
          <w:numId w:val="2"/>
        </w:numPr>
        <w:spacing w:after="120" w:before="0" w:line="360"/>
        <w:ind w:left="567" w:hanging="567"/>
        <w:jc w:val="both"/>
      </w:pPr>
      <w:r>
        <w:rPr>
          <w:rFonts w:ascii="Times New Roman" w:cs="Times New Roman" w:eastAsia="Times New Roman" w:hAnsi="Times New Roman"/>
          <w:sz w:val="24"/>
          <w:szCs w:val="24"/>
        </w:rPr>
        <w:t xml:space="preserve">L'ultima retribuzione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di riferimento per il calcolo del TFR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globale di fatto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 era di euro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mensili lordi (doc. 2: buste paga).</w:t>
      </w:r>
    </w:p>
    <w:p>
      <w:pPr>
        <w:pStyle w:val="Atto"/>
        <w:numPr>
          <w:ilvl w:val="0"/>
          <w:numId w:val="2"/>
        </w:numPr>
        <w:spacing w:after="120" w:before="0" w:line="360"/>
        <w:ind w:left="567" w:hanging="567"/>
        <w:jc w:val="both"/>
      </w:pPr>
      <w:r>
        <w:rPr>
          <w:rFonts w:ascii="Times New Roman" w:cs="Times New Roman" w:eastAsia="Times New Roman" w:hAnsi="Times New Roman"/>
          <w:sz w:val="24"/>
          <w:szCs w:val="24"/>
        </w:rPr>
        <w:t xml:space="preserve">La resistente occupa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più di quindici dipendenti nell'unità produttiva di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shd w:fill="DCDCDC" w:color="auto" w:val="clear"/>
        </w:rPr>
        <w:t xml:space="preserve"> / nel comune di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shd w:fill="DCDCDC" w:color="auto" w:val="clear"/>
        </w:rPr>
        <w:t xml:space="preserv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più di sessanta dipendenti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non più di quindici dipendenti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 (doc. 3: </w:t>
      </w:r>
      <w:r>
        <w:rPr>
          <w:rFonts w:ascii="Times New Roman" w:cs="Times New Roman" w:eastAsia="Times New Roman" w:hAnsi="Times New Roman"/>
          <w:sz w:val="24"/>
          <w:szCs w:val="24"/>
          <w:highlight w:val="yellow"/>
          <w:highlightCs w:val="yellow"/>
        </w:rPr>
        <w:t xml:space="preserve">[visura, libro unico, dichiarazioni]</w:t>
      </w:r>
      <w:r>
        <w:rPr>
          <w:rFonts w:ascii="Times New Roman" w:cs="Times New Roman" w:eastAsia="Times New Roman" w:hAnsi="Times New Roman"/>
          <w:sz w:val="24"/>
          <w:szCs w:val="24"/>
        </w:rPr>
        <w:t xml:space="preserv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il ricorrente chiede che la resistente sia onerata della produzione del libro unico del lavoro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w:t>
      </w:r>
    </w:p>
    <w:p>
      <w:pPr>
        <w:pStyle w:val="Atto"/>
        <w:numPr>
          <w:ilvl w:val="0"/>
          <w:numId w:val="2"/>
        </w:numPr>
        <w:spacing w:after="120" w:before="0" w:line="360"/>
        <w:ind w:left="567" w:hanging="567"/>
        <w:jc w:val="both"/>
      </w:pPr>
      <w:r>
        <w:rPr>
          <w:rFonts w:ascii="Times New Roman" w:cs="Times New Roman" w:eastAsia="Times New Roman" w:hAnsi="Times New Roman"/>
          <w:sz w:val="24"/>
          <w:szCs w:val="24"/>
        </w:rPr>
        <w:t xml:space="preserve">Con lettera del </w:t>
      </w:r>
      <w:r>
        <w:rPr>
          <w:rFonts w:ascii="Times New Roman" w:cs="Times New Roman" w:eastAsia="Times New Roman" w:hAnsi="Times New Roman"/>
          <w:sz w:val="24"/>
          <w:szCs w:val="24"/>
          <w:highlight w:val="yellow"/>
          <w:highlightCs w:val="yellow"/>
        </w:rPr>
        <w:t xml:space="preserve">[data]</w:t>
      </w:r>
      <w:r>
        <w:rPr>
          <w:rFonts w:ascii="Times New Roman" w:cs="Times New Roman" w:eastAsia="Times New Roman" w:hAnsi="Times New Roman"/>
          <w:sz w:val="24"/>
          <w:szCs w:val="24"/>
        </w:rPr>
        <w:t xml:space="preserve">, ricevuta il </w:t>
      </w:r>
      <w:r>
        <w:rPr>
          <w:rFonts w:ascii="Times New Roman" w:cs="Times New Roman" w:eastAsia="Times New Roman" w:hAnsi="Times New Roman"/>
          <w:sz w:val="24"/>
          <w:szCs w:val="24"/>
          <w:highlight w:val="yellow"/>
          <w:highlightCs w:val="yellow"/>
        </w:rPr>
        <w:t xml:space="preserve">[data]</w:t>
      </w:r>
      <w:r>
        <w:rPr>
          <w:rFonts w:ascii="Times New Roman" w:cs="Times New Roman" w:eastAsia="Times New Roman" w:hAnsi="Times New Roman"/>
          <w:sz w:val="24"/>
          <w:szCs w:val="24"/>
        </w:rPr>
        <w:t xml:space="preserve"> (doc. 4), la resistente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previa contestazione del </w:t>
      </w:r>
      <w:r>
        <w:rPr>
          <w:rFonts w:ascii="Times New Roman" w:cs="Times New Roman" w:eastAsia="Times New Roman" w:hAnsi="Times New Roman"/>
          <w:sz w:val="24"/>
          <w:szCs w:val="24"/>
          <w:highlight w:val="yellow"/>
          <w:highlightCs w:val="yellow"/>
        </w:rPr>
        <w:t xml:space="preserve">[data]</w:t>
      </w:r>
      <w:r>
        <w:rPr>
          <w:rFonts w:ascii="Times New Roman" w:cs="Times New Roman" w:eastAsia="Times New Roman" w:hAnsi="Times New Roman"/>
          <w:sz w:val="24"/>
          <w:szCs w:val="24"/>
          <w:shd w:fill="DCDCDC" w:color="auto" w:val="clear"/>
        </w:rPr>
        <w:t xml:space="preserve"> (doc. 5)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 ha licenziato il ricorrente per </w:t>
      </w:r>
      <w:r>
        <w:rPr>
          <w:rFonts w:ascii="Times New Roman" w:cs="Times New Roman" w:eastAsia="Times New Roman" w:hAnsi="Times New Roman"/>
          <w:sz w:val="24"/>
          <w:szCs w:val="24"/>
          <w:highlight w:val="yellow"/>
          <w:highlightCs w:val="yellow"/>
        </w:rPr>
        <w:t xml:space="preserve">[motivo indicato]</w:t>
      </w:r>
      <w:r>
        <w:rPr>
          <w:rFonts w:ascii="Times New Roman" w:cs="Times New Roman" w:eastAsia="Times New Roman" w:hAnsi="Times New Roman"/>
          <w:sz w:val="24"/>
          <w:szCs w:val="24"/>
        </w:rPr>
        <w:t xml:space="preserve">.</w:t>
      </w:r>
    </w:p>
    <w:p>
      <w:pPr>
        <w:pStyle w:val="Atto"/>
        <w:numPr>
          <w:ilvl w:val="0"/>
          <w:numId w:val="2"/>
        </w:numPr>
        <w:spacing w:after="120" w:before="0" w:line="360"/>
        <w:ind w:left="567" w:hanging="567"/>
        <w:jc w:val="both"/>
      </w:pPr>
      <w:r>
        <w:rPr>
          <w:rFonts w:ascii="Times New Roman" w:cs="Times New Roman" w:eastAsia="Times New Roman" w:hAnsi="Times New Roman"/>
          <w:sz w:val="24"/>
          <w:szCs w:val="24"/>
        </w:rPr>
        <w:t xml:space="preserve">Il ricorrente ha impugnato il licenziamento con atto del </w:t>
      </w:r>
      <w:r>
        <w:rPr>
          <w:rFonts w:ascii="Times New Roman" w:cs="Times New Roman" w:eastAsia="Times New Roman" w:hAnsi="Times New Roman"/>
          <w:sz w:val="24"/>
          <w:szCs w:val="24"/>
          <w:highlight w:val="yellow"/>
          <w:highlightCs w:val="yellow"/>
        </w:rPr>
        <w:t xml:space="preserve">[data]</w:t>
      </w:r>
      <w:r>
        <w:rPr>
          <w:rFonts w:ascii="Times New Roman" w:cs="Times New Roman" w:eastAsia="Times New Roman" w:hAnsi="Times New Roman"/>
          <w:sz w:val="24"/>
          <w:szCs w:val="24"/>
        </w:rPr>
        <w:t xml:space="preserve">, consegnato il </w:t>
      </w:r>
      <w:r>
        <w:rPr>
          <w:rFonts w:ascii="Times New Roman" w:cs="Times New Roman" w:eastAsia="Times New Roman" w:hAnsi="Times New Roman"/>
          <w:sz w:val="24"/>
          <w:szCs w:val="24"/>
          <w:highlight w:val="yellow"/>
          <w:highlightCs w:val="yellow"/>
        </w:rPr>
        <w:t xml:space="preserve">[data]</w:t>
      </w:r>
      <w:r>
        <w:rPr>
          <w:rFonts w:ascii="Times New Roman" w:cs="Times New Roman" w:eastAsia="Times New Roman" w:hAnsi="Times New Roman"/>
          <w:sz w:val="24"/>
          <w:szCs w:val="24"/>
        </w:rPr>
        <w:t xml:space="preserve"> (doc. 6), entro sessanta giorni dalla ricezione (art. 6, primo comma, l. 604/1966).</w:t>
      </w:r>
    </w:p>
    <w:p>
      <w:pPr>
        <w:pStyle w:val="Atto"/>
        <w:numPr>
          <w:ilvl w:val="0"/>
          <w:numId w:val="2"/>
        </w:numPr>
        <w:spacing w:after="120" w:before="0" w:line="360"/>
        <w:ind w:left="567" w:hanging="567"/>
        <w:jc w:val="both"/>
      </w:pPr>
      <w:r>
        <w:rPr>
          <w:rFonts w:ascii="Times New Roman" w:cs="Times New Roman" w:eastAsia="Times New Roman" w:hAnsi="Times New Roman"/>
          <w:i/>
          <w:iCs/>
          <w:sz w:val="24"/>
          <w:szCs w:val="24"/>
          <w:highlight w:val="yellow"/>
          <w:highlightCs w:val="yellow"/>
        </w:rPr>
        <w:t xml:space="preserve">[Esposizione dei fatti rilevanti: che cosa è successo davvero; perché il fatto contestato non sussiste / non è imputabile / è punito dal CCNL con sanzione conservativa (art. [__] CCNL); perché la ragione organizzativa non esiste o non riguarda la posizione del ricorrente; elementi di discriminazione o ritorsione]</w:t>
      </w:r>
      <w:r>
        <w:rPr>
          <w:rFonts w:ascii="Times New Roman" w:cs="Times New Roman" w:eastAsia="Times New Roman" w:hAnsi="Times New Roman"/>
          <w:sz w:val="24"/>
          <w:szCs w:val="24"/>
        </w:rPr>
        <w:t xml:space="preserve">.</w:t>
      </w:r>
    </w:p>
    <w:p>
      <w:pPr>
        <w:pStyle w:val="Atto"/>
        <w:numPr>
          <w:ilvl w:val="0"/>
          <w:numId w:val="2"/>
        </w:numPr>
        <w:spacing w:after="120" w:before="0" w:line="360"/>
        <w:ind w:left="567" w:hanging="567"/>
        <w:jc w:val="both"/>
      </w:pPr>
      <w:r>
        <w:rPr>
          <w:rFonts w:ascii="Times New Roman" w:cs="Times New Roman" w:eastAsia="Times New Roman" w:hAnsi="Times New Roman"/>
          <w:sz w:val="24"/>
          <w:szCs w:val="24"/>
        </w:rPr>
        <w:t xml:space="preserve">Il presente ricorso è depositato entro centottanta giorni dall'impugnazione (art. 6, secondo comma, l. 604/1966).</w:t>
      </w:r>
    </w:p>
    <w:p>
      <w:pPr>
        <w:pStyle w:val="Atto"/>
        <w:keepNext/>
        <w:spacing w:after="120" w:before="240" w:line="360"/>
        <w:jc w:val="center"/>
      </w:pPr>
      <w:r>
        <w:rPr>
          <w:rFonts w:ascii="Times New Roman" w:cs="Times New Roman" w:eastAsia="Times New Roman" w:hAnsi="Times New Roman"/>
          <w:b/>
          <w:bCs/>
          <w:spacing w:val="20"/>
          <w:sz w:val="24"/>
          <w:szCs w:val="24"/>
        </w:rPr>
        <w:t xml:space="preserve">DIRITTO </w:t>
      </w:r>
      <w:hyperlink w:history="1" w:anchor="nota_B4">
        <w:r>
          <w:rPr>
            <w:rFonts w:ascii="Calibri" w:cs="Calibri" w:eastAsia="Calibri" w:hAnsi="Calibri"/>
            <w:color w:val="7A817E"/>
            <w:sz w:val="18"/>
            <w:szCs w:val="18"/>
            <w:vertAlign w:val="superscript"/>
          </w:rPr>
          <w:t xml:space="preserve">(B4)</w:t>
        </w:r>
      </w:hyperlink>
    </w:p>
    <w:p>
      <w:pPr>
        <w:pStyle w:val="Atto"/>
        <w:keepNext/>
        <w:spacing w:after="80" w:before="160" w:line="360"/>
        <w:jc w:val="left"/>
      </w:pPr>
      <w:r>
        <w:rPr>
          <w:rFonts w:ascii="Times New Roman" w:cs="Times New Roman" w:eastAsia="Times New Roman" w:hAnsi="Times New Roman"/>
          <w:b/>
          <w:bCs/>
          <w:sz w:val="24"/>
          <w:szCs w:val="24"/>
        </w:rPr>
        <w:t xml:space="preserve">I. Regime applicabile.</w:t>
      </w:r>
    </w:p>
    <w:tbl>
      <w:tblPr>
        <w:tblW w:type="dxa" w:w="9072"/>
        <w:tblBorders>
          <w:top w:val="single" w:color="BFBFBF" w:sz="4"/>
          <w:left w:val="single" w:color="7A817E" w:sz="18"/>
          <w:bottom w:val="single" w:color="BFBFBF" w:sz="4"/>
          <w:right w:val="single" w:color="BFBFBF" w:sz="4"/>
          <w:insideH w:val="none" w:color="FFFFFF" w:sz="0"/>
          <w:insideV w:val="none" w:color="FFFFFF" w:sz="0"/>
        </w:tblBorders>
        <w:tblLayout w:type="fixed"/>
      </w:tblPr>
      <w:tblGrid>
        <w:gridCol w:w="9072"/>
      </w:tblGrid>
      <w:tr>
        <w:trPr>
          <w:cantSplit w:val="false"/>
        </w:trPr>
        <w:tc>
          <w:tcPr>
            <w:tcW w:type="dxa" w:w="9072"/>
            <w:tcBorders>
              <w:top w:val="single" w:color="BFBFBF" w:sz="4"/>
              <w:left w:val="single" w:color="7A817E" w:sz="18"/>
              <w:bottom w:val="single" w:color="BFBFBF" w:sz="4"/>
              <w:right w:val="single" w:color="BFBFBF" w:sz="4"/>
            </w:tcBorders>
            <w:shd w:fill="F2F2F2" w:color="auto" w:val="clear"/>
            <w:tcMar>
              <w:top w:type="dxa" w:w="90"/>
              <w:left w:type="dxa" w:w="160"/>
              <w:bottom w:type="dxa" w:w="40"/>
              <w:right w:type="dxa" w:w="140"/>
            </w:tcMar>
          </w:tcPr>
          <w:p>
            <w:pPr>
              <w:pStyle w:val="DidascaliaVariante"/>
              <w:keepNext/>
              <w:spacing w:after="80" w:before="0"/>
            </w:pPr>
            <w:r>
              <w:rPr>
                <w:rFonts w:ascii="Calibri" w:cs="Calibri" w:eastAsia="Calibri" w:hAnsi="Calibri"/>
                <w:b/>
                <w:bCs/>
                <w:color w:val="4F5654"/>
                <w:spacing w:val="24"/>
                <w:sz w:val="15"/>
                <w:szCs w:val="15"/>
              </w:rPr>
              <w:t xml:space="preserve">VARIANTE — scegliere e cancellare le altre</w:t>
            </w:r>
          </w:p>
          <w:p>
            <w:pPr>
              <w:pStyle w:val="AttoRiquadro"/>
              <w:spacing w:after="60" w:before="0" w:line="276"/>
              <w:jc w:val="left"/>
            </w:pPr>
            <w:r>
              <w:rPr>
                <w:rFonts w:ascii="Times New Roman" w:cs="Times New Roman" w:eastAsia="Times New Roman" w:hAnsi="Times New Roman"/>
                <w:sz w:val="22"/>
                <w:szCs w:val="22"/>
              </w:rPr>
              <w:t xml:space="preserve">VARIANTE 1 – assunto dal 7 marzo 2015 (o rapporto convertito dopo tale data): si applica il d.lgs. 4 marzo 2015, n. 23 (art. 1).</w:t>
            </w:r>
          </w:p>
          <w:p>
            <w:pPr>
              <w:pStyle w:val="AttoRiquadro"/>
              <w:pBdr>
                <w:bottom w:val="dashed" w:color="A6A6A6" w:sz="4" w:space="1"/>
              </w:pBdr>
              <w:spacing w:after="70" w:before="20" w:line="40" w:lineRule="exact"/>
            </w:pPr>
          </w:p>
          <w:p>
            <w:pPr>
              <w:pStyle w:val="AttoRiquadro"/>
              <w:spacing w:after="60" w:before="0" w:line="276"/>
              <w:jc w:val="left"/>
            </w:pPr>
            <w:r>
              <w:rPr>
                <w:rFonts w:ascii="Times New Roman" w:cs="Times New Roman" w:eastAsia="Times New Roman" w:hAnsi="Times New Roman"/>
                <w:sz w:val="22"/>
                <w:szCs w:val="22"/>
              </w:rPr>
              <w:t xml:space="preserve">VARIANTE 2 – assunto prima del 7 marzo 2015, datore che supera i limiti dell'art. 18, ottavo e nono comma, l. 300/1970: si applica l'art. 18 l. 300/1970.</w:t>
            </w:r>
          </w:p>
          <w:p>
            <w:pPr>
              <w:pStyle w:val="AttoRiquadro"/>
              <w:pBdr>
                <w:bottom w:val="dashed" w:color="A6A6A6" w:sz="4" w:space="1"/>
              </w:pBdr>
              <w:spacing w:after="70" w:before="20" w:line="40" w:lineRule="exact"/>
            </w:pPr>
          </w:p>
          <w:p>
            <w:pPr>
              <w:pStyle w:val="AttoRiquadro"/>
              <w:spacing w:after="60" w:before="0" w:line="276"/>
              <w:jc w:val="left"/>
            </w:pPr>
            <w:r>
              <w:rPr>
                <w:rFonts w:ascii="Times New Roman" w:cs="Times New Roman" w:eastAsia="Times New Roman" w:hAnsi="Times New Roman"/>
                <w:sz w:val="22"/>
                <w:szCs w:val="22"/>
              </w:rPr>
              <w:t xml:space="preserve">VARIANTE 3 – assunto prima del 7 marzo 2015, datore sotto soglia: si applica l'art. 8 l. 604/1966 (art. 2 l. 108/1990), salvi i casi di nullità.</w:t>
            </w:r>
          </w:p>
        </w:tc>
      </w:tr>
    </w:tbl>
    <w:p>
      <w:pPr>
        <w:spacing w:after="0" w:before="0" w:line="160"/>
      </w:pPr>
    </w:p>
    <w:p>
      <w:pPr>
        <w:pStyle w:val="Atto"/>
        <w:keepNext/>
        <w:spacing w:after="80" w:before="160" w:line="360"/>
        <w:jc w:val="left"/>
      </w:pPr>
      <w:r>
        <w:rPr>
          <w:rFonts w:ascii="Times New Roman" w:cs="Times New Roman" w:eastAsia="Times New Roman" w:hAnsi="Times New Roman"/>
          <w:b/>
          <w:bCs/>
          <w:sz w:val="24"/>
          <w:szCs w:val="24"/>
        </w:rPr>
        <w:t xml:space="preserve">II. Nullità del licenziamento </w:t>
      </w:r>
      <w:r>
        <w:rPr>
          <w:rFonts w:ascii="Times New Roman" w:cs="Times New Roman" w:eastAsia="Times New Roman" w:hAnsi="Times New Roman"/>
          <w:b/>
          <w:bCs/>
          <w:sz w:val="24"/>
          <w:szCs w:val="24"/>
          <w:highlight w:val="yellow"/>
          <w:highlightCs w:val="yellow"/>
        </w:rPr>
        <w:t xml:space="preserve">[solo se ricorre]</w:t>
      </w:r>
      <w:r>
        <w:rPr>
          <w:rFonts w:ascii="Times New Roman" w:cs="Times New Roman" w:eastAsia="Times New Roman" w:hAnsi="Times New Roman"/>
          <w:b/>
          <w:bCs/>
          <w:sz w:val="24"/>
          <w:szCs w:val="24"/>
        </w:rPr>
        <w:t xml:space="preserve">.</w:t>
      </w:r>
    </w:p>
    <w:p>
      <w:pPr>
        <w:pStyle w:val="Atto"/>
        <w:spacing w:after="120" w:before="0" w:line="360"/>
        <w:jc w:val="both"/>
      </w:pPr>
      <w:r>
        <w:rPr>
          <w:rFonts w:ascii="Times New Roman" w:cs="Times New Roman" w:eastAsia="Times New Roman" w:hAnsi="Times New Roman"/>
          <w:sz w:val="24"/>
          <w:szCs w:val="24"/>
        </w:rPr>
        <w:t xml:space="preserve">Il licenziamento è nullo perché </w:t>
      </w:r>
      <w:r>
        <w:rPr>
          <w:rFonts w:ascii="Times New Roman" w:cs="Times New Roman" w:eastAsia="Times New Roman" w:hAnsi="Times New Roman"/>
          <w:i/>
          <w:iCs/>
          <w:sz w:val="24"/>
          <w:szCs w:val="24"/>
          <w:highlight w:val="yellow"/>
          <w:highlightCs w:val="yellow"/>
        </w:rPr>
        <w:t xml:space="preserve">[discriminatorio ai sensi dell'art. 15 l. 300/1970 e dell'art. 3 l. 108/1990 / determinato da motivo illecito determinante / intimato in violazione dell'art. 54 d.lgs. 151/2001 / dell'art. 35 d.lgs. 198/2006 / in violazione di altra norma imperativa che vieta il licenziamento: ____ ]</w:t>
      </w:r>
      <w:r>
        <w:rPr>
          <w:rFonts w:ascii="Times New Roman" w:cs="Times New Roman" w:eastAsia="Times New Roman" w:hAnsi="Times New Roman"/>
          <w:sz w:val="24"/>
          <w:szCs w:val="24"/>
        </w:rPr>
        <w:t xml:space="preserve">. Ne consegue la tutela dell'art. 2 d.lgs. 23/2015 – nel testo risultante dalla sentenza della Corte costituzionale n. 22 del 2024, che ha eliminato la parola «espressamente» –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ovvero dell'art. 18, commi primo-terzo, l. 300/1970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 quale che sia il numero dei dipendenti.</w:t>
      </w:r>
    </w:p>
    <w:tbl>
      <w:tblPr>
        <w:tblW w:type="dxa" w:w="9072"/>
        <w:tblBorders>
          <w:top w:val="single" w:color="BFBFBF" w:sz="4"/>
          <w:left w:val="single" w:color="7A817E" w:sz="18"/>
          <w:bottom w:val="single" w:color="BFBFBF" w:sz="4"/>
          <w:right w:val="single" w:color="BFBFBF" w:sz="4"/>
          <w:insideH w:val="none" w:color="FFFFFF" w:sz="0"/>
          <w:insideV w:val="none" w:color="FFFFFF" w:sz="0"/>
        </w:tblBorders>
        <w:tblLayout w:type="fixed"/>
      </w:tblPr>
      <w:tblGrid>
        <w:gridCol w:w="9072"/>
      </w:tblGrid>
      <w:tr>
        <w:trPr>
          <w:cantSplit w:val="false"/>
        </w:trPr>
        <w:tc>
          <w:tcPr>
            <w:tcW w:type="dxa" w:w="9072"/>
            <w:tcBorders>
              <w:top w:val="single" w:color="BFBFBF" w:sz="4"/>
              <w:left w:val="single" w:color="7A817E" w:sz="18"/>
              <w:bottom w:val="single" w:color="BFBFBF" w:sz="4"/>
              <w:right w:val="single" w:color="BFBFBF" w:sz="4"/>
            </w:tcBorders>
            <w:shd w:fill="F2F2F2" w:color="auto" w:val="clear"/>
            <w:tcMar>
              <w:top w:type="dxa" w:w="90"/>
              <w:left w:type="dxa" w:w="160"/>
              <w:bottom w:type="dxa" w:w="40"/>
              <w:right w:type="dxa" w:w="140"/>
            </w:tcMar>
          </w:tcPr>
          <w:p>
            <w:pPr>
              <w:pStyle w:val="DidascaliaVariante"/>
              <w:keepNext/>
              <w:spacing w:after="80" w:before="0"/>
            </w:pPr>
            <w:r>
              <w:rPr>
                <w:rFonts w:ascii="Calibri" w:cs="Calibri" w:eastAsia="Calibri" w:hAnsi="Calibri"/>
                <w:b/>
                <w:bCs/>
                <w:color w:val="4F5654"/>
                <w:spacing w:val="24"/>
                <w:sz w:val="15"/>
                <w:szCs w:val="15"/>
              </w:rPr>
              <w:t xml:space="preserve">VARIANTE — mantenere o cancellare</w:t>
            </w:r>
          </w:p>
          <w:p>
            <w:pPr>
              <w:pStyle w:val="AttoRiquadro"/>
              <w:spacing w:after="60" w:before="0" w:line="276"/>
              <w:jc w:val="left"/>
            </w:pPr>
            <w:r>
              <w:rPr>
                <w:rFonts w:ascii="Times New Roman" w:cs="Times New Roman" w:eastAsia="Times New Roman" w:hAnsi="Times New Roman"/>
                <w:sz w:val="22"/>
                <w:szCs w:val="22"/>
              </w:rPr>
              <w:t xml:space="preserve">Il licenziamento è stato intimato oralmente: si applica lo stesso regime (art. 2, comma 1, ultimo periodo, d.lgs. 23/2015; art. 18, primo comma, ultimo periodo, l. 300/1970).</w:t>
            </w:r>
          </w:p>
        </w:tc>
      </w:tr>
    </w:tbl>
    <w:p>
      <w:pPr>
        <w:spacing w:after="0" w:before="0" w:line="160"/>
      </w:pPr>
    </w:p>
    <w:p>
      <w:pPr>
        <w:pStyle w:val="Atto"/>
        <w:keepNext/>
        <w:spacing w:after="80" w:before="160" w:line="360"/>
        <w:jc w:val="left"/>
      </w:pPr>
      <w:r>
        <w:rPr>
          <w:rFonts w:ascii="Times New Roman" w:cs="Times New Roman" w:eastAsia="Times New Roman" w:hAnsi="Times New Roman"/>
          <w:b/>
          <w:bCs/>
          <w:sz w:val="24"/>
          <w:szCs w:val="24"/>
        </w:rPr>
        <w:t xml:space="preserve">III. Insussistenza del fatto materiale.</w:t>
      </w:r>
    </w:p>
    <w:tbl>
      <w:tblPr>
        <w:tblW w:type="dxa" w:w="9072"/>
        <w:tblBorders>
          <w:top w:val="single" w:color="BFBFBF" w:sz="4"/>
          <w:left w:val="single" w:color="7A817E" w:sz="18"/>
          <w:bottom w:val="single" w:color="BFBFBF" w:sz="4"/>
          <w:right w:val="single" w:color="BFBFBF" w:sz="4"/>
          <w:insideH w:val="none" w:color="FFFFFF" w:sz="0"/>
          <w:insideV w:val="none" w:color="FFFFFF" w:sz="0"/>
        </w:tblBorders>
        <w:tblLayout w:type="fixed"/>
      </w:tblPr>
      <w:tblGrid>
        <w:gridCol w:w="9072"/>
      </w:tblGrid>
      <w:tr>
        <w:trPr>
          <w:cantSplit w:val="false"/>
        </w:trPr>
        <w:tc>
          <w:tcPr>
            <w:tcW w:type="dxa" w:w="9072"/>
            <w:tcBorders>
              <w:top w:val="single" w:color="BFBFBF" w:sz="4"/>
              <w:left w:val="single" w:color="7A817E" w:sz="18"/>
              <w:bottom w:val="single" w:color="BFBFBF" w:sz="4"/>
              <w:right w:val="single" w:color="BFBFBF" w:sz="4"/>
            </w:tcBorders>
            <w:shd w:fill="F2F2F2" w:color="auto" w:val="clear"/>
            <w:tcMar>
              <w:top w:type="dxa" w:w="90"/>
              <w:left w:type="dxa" w:w="160"/>
              <w:bottom w:type="dxa" w:w="40"/>
              <w:right w:type="dxa" w:w="140"/>
            </w:tcMar>
          </w:tcPr>
          <w:p>
            <w:pPr>
              <w:pStyle w:val="DidascaliaVariante"/>
              <w:keepNext/>
              <w:spacing w:after="80" w:before="0"/>
            </w:pPr>
            <w:r>
              <w:rPr>
                <w:rFonts w:ascii="Calibri" w:cs="Calibri" w:eastAsia="Calibri" w:hAnsi="Calibri"/>
                <w:b/>
                <w:bCs/>
                <w:color w:val="4F5654"/>
                <w:spacing w:val="24"/>
                <w:sz w:val="15"/>
                <w:szCs w:val="15"/>
              </w:rPr>
              <w:t xml:space="preserve">VARIANTE — scegliere e cancellare le altre</w:t>
            </w:r>
          </w:p>
          <w:p>
            <w:pPr>
              <w:pStyle w:val="AttoRiquadro"/>
              <w:spacing w:after="60" w:before="0" w:line="276"/>
              <w:jc w:val="left"/>
            </w:pPr>
            <w:r>
              <w:rPr>
                <w:rFonts w:ascii="Times New Roman" w:cs="Times New Roman" w:eastAsia="Times New Roman" w:hAnsi="Times New Roman"/>
                <w:sz w:val="22"/>
                <w:szCs w:val="22"/>
              </w:rPr>
              <w:t xml:space="preserve">Licenziamento disciplinare: il fatto materiale contestato non sussiste (art. 3, comma 2, d.lgs. 23/2015)</w:t>
            </w:r>
          </w:p>
          <w:p>
            <w:pPr>
              <w:pStyle w:val="AttoRiquadro"/>
              <w:pBdr>
                <w:bottom w:val="dashed" w:color="A6A6A6" w:sz="4" w:space="1"/>
              </w:pBdr>
              <w:spacing w:after="70" w:before="20" w:line="40" w:lineRule="exact"/>
            </w:pPr>
          </w:p>
          <w:p>
            <w:pPr>
              <w:pStyle w:val="AttoRiquadro"/>
              <w:spacing w:after="60" w:before="0" w:line="276"/>
              <w:jc w:val="left"/>
            </w:pPr>
            <w:r>
              <w:rPr>
                <w:rFonts w:ascii="Times New Roman" w:cs="Times New Roman" w:eastAsia="Times New Roman" w:hAnsi="Times New Roman"/>
                <w:sz w:val="22"/>
                <w:szCs w:val="22"/>
              </w:rPr>
              <w:t xml:space="preserve">il CCNL applicato, all'art. </w:t>
            </w:r>
            <w:r>
              <w:rPr>
                <w:rFonts w:ascii="Times New Roman" w:cs="Times New Roman" w:eastAsia="Times New Roman" w:hAnsi="Times New Roman"/>
                <w:sz w:val="22"/>
                <w:szCs w:val="22"/>
                <w:highlight w:val="yellow"/>
                <w:highlightCs w:val="yellow"/>
              </w:rPr>
              <w:t xml:space="preserve">[__]</w:t>
            </w:r>
            <w:r>
              <w:rPr>
                <w:rFonts w:ascii="Times New Roman" w:cs="Times New Roman" w:eastAsia="Times New Roman" w:hAnsi="Times New Roman"/>
                <w:sz w:val="22"/>
                <w:szCs w:val="22"/>
              </w:rPr>
              <w:t xml:space="preserve">, punisce lo specifico fatto contestato con una sanzione conservativa: secondo la sentenza della Corte costituzionale n. 129 del 2024 il caso va equiparato all'insussistenza del fatto materiale</w:t>
            </w:r>
          </w:p>
          <w:p>
            <w:pPr>
              <w:pStyle w:val="AttoRiquadro"/>
              <w:pBdr>
                <w:bottom w:val="dashed" w:color="A6A6A6" w:sz="4" w:space="1"/>
              </w:pBdr>
              <w:spacing w:after="70" w:before="20" w:line="40" w:lineRule="exact"/>
            </w:pPr>
          </w:p>
          <w:p>
            <w:pPr>
              <w:pStyle w:val="AttoRiquadro"/>
              <w:spacing w:after="60" w:before="0" w:line="276"/>
              <w:jc w:val="left"/>
            </w:pPr>
            <w:r>
              <w:rPr>
                <w:rFonts w:ascii="Times New Roman" w:cs="Times New Roman" w:eastAsia="Times New Roman" w:hAnsi="Times New Roman"/>
                <w:sz w:val="22"/>
                <w:szCs w:val="22"/>
              </w:rPr>
              <w:t xml:space="preserve">licenziamento per GMO: il fatto materiale allegato dal datore non sussiste; la sentenza della Corte costituzionale n. 128 del 2024 ha esteso al GMO la tutela dell'art. 3, comma 2.</w:t>
            </w:r>
          </w:p>
          <w:p>
            <w:pPr>
              <w:pStyle w:val="AttoRiquadro"/>
              <w:pBdr>
                <w:bottom w:val="dashed" w:color="A6A6A6" w:sz="4" w:space="1"/>
              </w:pBdr>
              <w:spacing w:after="70" w:before="20" w:line="40" w:lineRule="exact"/>
            </w:pPr>
          </w:p>
          <w:p>
            <w:pPr>
              <w:pStyle w:val="AttoRiquadro"/>
              <w:spacing w:after="60" w:before="0" w:line="276"/>
              <w:jc w:val="left"/>
            </w:pPr>
            <w:r>
              <w:rPr>
                <w:rFonts w:ascii="Times New Roman" w:cs="Times New Roman" w:eastAsia="Times New Roman" w:hAnsi="Times New Roman"/>
                <w:sz w:val="22"/>
                <w:szCs w:val="22"/>
              </w:rPr>
              <w:t xml:space="preserve">Per l'art. 18: quarto comma (insussistenza del fatto contestato o condotta punibile con sanzione conservativa secondo il CCNL); settimo comma, secondo periodo, nel testo risultante dalle sentenze n. 59 del 2021 e n. 125 del 2022 (il giudice «applica» la tutela del quarto comma quando accerta l'insussistenza del fatto posto a base del GMO).</w:t>
            </w:r>
          </w:p>
        </w:tc>
      </w:tr>
    </w:tbl>
    <w:p>
      <w:pPr>
        <w:spacing w:after="0" w:before="0" w:line="160"/>
      </w:pPr>
    </w:p>
    <w:p>
      <w:pPr>
        <w:pStyle w:val="Atto"/>
        <w:spacing w:after="120" w:before="0" w:line="360"/>
        <w:jc w:val="both"/>
      </w:pPr>
      <w:r>
        <w:rPr>
          <w:rFonts w:ascii="Times New Roman" w:cs="Times New Roman" w:eastAsia="Times New Roman" w:hAnsi="Times New Roman"/>
          <w:sz w:val="24"/>
          <w:szCs w:val="24"/>
        </w:rPr>
        <w:t xml:space="preserve">Il datore non ha dato la prova della giusta causa o del giustificato motivo, di cui è onerato (art. 5 l. 604/1966).</w:t>
      </w:r>
    </w:p>
    <w:p>
      <w:pPr>
        <w:pStyle w:val="Atto"/>
        <w:keepNext/>
        <w:spacing w:after="80" w:before="160" w:line="360"/>
        <w:jc w:val="left"/>
      </w:pPr>
      <w:r>
        <w:rPr>
          <w:rFonts w:ascii="Times New Roman" w:cs="Times New Roman" w:eastAsia="Times New Roman" w:hAnsi="Times New Roman"/>
          <w:b/>
          <w:bCs/>
          <w:sz w:val="24"/>
          <w:szCs w:val="24"/>
        </w:rPr>
        <w:t xml:space="preserve">IV. In subordine: mancanza di giusta causa o giustificato motivo.</w:t>
      </w:r>
    </w:p>
    <w:tbl>
      <w:tblPr>
        <w:tblW w:type="dxa" w:w="9072"/>
        <w:tblBorders>
          <w:top w:val="single" w:color="BFBFBF" w:sz="4"/>
          <w:left w:val="single" w:color="7A817E" w:sz="18"/>
          <w:bottom w:val="single" w:color="BFBFBF" w:sz="4"/>
          <w:right w:val="single" w:color="BFBFBF" w:sz="4"/>
          <w:insideH w:val="none" w:color="FFFFFF" w:sz="0"/>
          <w:insideV w:val="none" w:color="FFFFFF" w:sz="0"/>
        </w:tblBorders>
        <w:tblLayout w:type="fixed"/>
      </w:tblPr>
      <w:tblGrid>
        <w:gridCol w:w="9072"/>
      </w:tblGrid>
      <w:tr>
        <w:trPr>
          <w:cantSplit w:val="false"/>
        </w:trPr>
        <w:tc>
          <w:tcPr>
            <w:tcW w:type="dxa" w:w="9072"/>
            <w:tcBorders>
              <w:top w:val="single" w:color="BFBFBF" w:sz="4"/>
              <w:left w:val="single" w:color="7A817E" w:sz="18"/>
              <w:bottom w:val="single" w:color="BFBFBF" w:sz="4"/>
              <w:right w:val="single" w:color="BFBFBF" w:sz="4"/>
            </w:tcBorders>
            <w:shd w:fill="F2F2F2" w:color="auto" w:val="clear"/>
            <w:tcMar>
              <w:top w:type="dxa" w:w="90"/>
              <w:left w:type="dxa" w:w="160"/>
              <w:bottom w:type="dxa" w:w="40"/>
              <w:right w:type="dxa" w:w="140"/>
            </w:tcMar>
          </w:tcPr>
          <w:p>
            <w:pPr>
              <w:pStyle w:val="DidascaliaVariante"/>
              <w:keepNext/>
              <w:spacing w:after="80" w:before="0"/>
            </w:pPr>
            <w:r>
              <w:rPr>
                <w:rFonts w:ascii="Calibri" w:cs="Calibri" w:eastAsia="Calibri" w:hAnsi="Calibri"/>
                <w:b/>
                <w:bCs/>
                <w:color w:val="4F5654"/>
                <w:spacing w:val="24"/>
                <w:sz w:val="15"/>
                <w:szCs w:val="15"/>
              </w:rPr>
              <w:t xml:space="preserve">VARIANTE — scegliere e cancellare le altre</w:t>
            </w:r>
          </w:p>
          <w:p>
            <w:pPr>
              <w:pStyle w:val="AttoRiquadro"/>
              <w:spacing w:after="60" w:before="0" w:line="276"/>
              <w:jc w:val="left"/>
            </w:pPr>
            <w:r>
              <w:rPr>
                <w:rFonts w:ascii="Times New Roman" w:cs="Times New Roman" w:eastAsia="Times New Roman" w:hAnsi="Times New Roman"/>
                <w:sz w:val="22"/>
                <w:szCs w:val="22"/>
              </w:rPr>
              <w:t xml:space="preserve">D.lgs. 23/2015, art. 3, comma 1: indennità tra 6 e 36 mensilità dell'ultima retribuzione di riferimento per il calcolo del TFR, determinata dal giudice – dopo la sentenza della Corte costituzionale n. 194 del 2018 – tenendo conto innanzitutto dell'anzianità di servizio e poi del numero dei dipendenti, delle dimensioni dell'attività economica, del comportamento e delle condizioni delle parti.</w:t>
            </w:r>
          </w:p>
          <w:p>
            <w:pPr>
              <w:pStyle w:val="AttoRiquadro"/>
              <w:pBdr>
                <w:bottom w:val="dashed" w:color="A6A6A6" w:sz="4" w:space="1"/>
              </w:pBdr>
              <w:spacing w:after="70" w:before="20" w:line="40" w:lineRule="exact"/>
            </w:pPr>
          </w:p>
          <w:p>
            <w:pPr>
              <w:pStyle w:val="AttoRiquadro"/>
              <w:spacing w:after="60" w:before="0" w:line="276"/>
              <w:jc w:val="left"/>
            </w:pPr>
            <w:r>
              <w:rPr>
                <w:rFonts w:ascii="Times New Roman" w:cs="Times New Roman" w:eastAsia="Times New Roman" w:hAnsi="Times New Roman"/>
                <w:sz w:val="22"/>
                <w:szCs w:val="22"/>
              </w:rPr>
              <w:t xml:space="preserve">Art. 18, quinto comma: indennità tra 12 e 24 mensilità della retribuzione globale di fatto.</w:t>
            </w:r>
          </w:p>
          <w:p>
            <w:pPr>
              <w:pStyle w:val="AttoRiquadro"/>
              <w:pBdr>
                <w:bottom w:val="dashed" w:color="A6A6A6" w:sz="4" w:space="1"/>
              </w:pBdr>
              <w:spacing w:after="70" w:before="20" w:line="40" w:lineRule="exact"/>
            </w:pPr>
          </w:p>
          <w:p>
            <w:pPr>
              <w:pStyle w:val="AttoRiquadro"/>
              <w:spacing w:after="60" w:before="0" w:line="276"/>
              <w:jc w:val="left"/>
            </w:pPr>
            <w:r>
              <w:rPr>
                <w:rFonts w:ascii="Times New Roman" w:cs="Times New Roman" w:eastAsia="Times New Roman" w:hAnsi="Times New Roman"/>
                <w:sz w:val="22"/>
                <w:szCs w:val="22"/>
              </w:rPr>
              <w:t xml:space="preserve">Art. 8 l. 604/1966: il datore è tenuto a riassumere il lavoratore entro tre giorni o, in mancanza, a risarcire il danno con un'indennità tra 2,5 e 6 mensilità dell'ultima retribuzione globale di fatto </w:t>
            </w:r>
            <w:r>
              <w:rPr>
                <w:rFonts w:ascii="Times New Roman" w:cs="Times New Roman" w:eastAsia="Times New Roman" w:hAnsi="Times New Roman"/>
                <w:i/>
                <w:iCs/>
                <w:sz w:val="22"/>
                <w:szCs w:val="22"/>
                <w:highlight w:val="yellow"/>
                <w:highlightCs w:val="yellow"/>
              </w:rPr>
              <w:t xml:space="preserve">[maggiorabile fino a 10 mensilità per anzianità superiore a dieci anni o fino a 14 per anzianità superiore a venti anni, se il datore occupa più di quindici dipendenti]</w:t>
            </w:r>
            <w:r>
              <w:rPr>
                <w:rFonts w:ascii="Times New Roman" w:cs="Times New Roman" w:eastAsia="Times New Roman" w:hAnsi="Times New Roman"/>
                <w:sz w:val="22"/>
                <w:szCs w:val="22"/>
              </w:rPr>
              <w:t xml:space="preserve">.</w:t>
            </w:r>
          </w:p>
          <w:p>
            <w:pPr>
              <w:pStyle w:val="AttoRiquadro"/>
              <w:pBdr>
                <w:bottom w:val="dashed" w:color="A6A6A6" w:sz="4" w:space="1"/>
              </w:pBdr>
              <w:spacing w:after="70" w:before="20" w:line="40" w:lineRule="exact"/>
            </w:pPr>
          </w:p>
          <w:p>
            <w:pPr>
              <w:pStyle w:val="AttoRiquadro"/>
              <w:spacing w:after="60" w:before="0" w:line="276"/>
              <w:jc w:val="left"/>
            </w:pPr>
            <w:r>
              <w:rPr>
                <w:rFonts w:ascii="Times New Roman" w:cs="Times New Roman" w:eastAsia="Times New Roman" w:hAnsi="Times New Roman"/>
                <w:sz w:val="22"/>
                <w:szCs w:val="22"/>
              </w:rPr>
              <w:t xml:space="preserve">Datore sotto soglia nel regime del d.lgs. 23/2015 (art. 9, comma 1): indennità dimezzata, senza più il tetto di sei mensilità dichiarato illegittimo dalla sentenza n. 118 del 2025.</w:t>
            </w:r>
          </w:p>
        </w:tc>
      </w:tr>
    </w:tbl>
    <w:p>
      <w:pPr>
        <w:spacing w:after="0" w:before="0" w:line="160"/>
      </w:pPr>
    </w:p>
    <w:p>
      <w:pPr>
        <w:pStyle w:val="Atto"/>
        <w:keepNext/>
        <w:spacing w:after="80" w:before="160" w:line="360"/>
        <w:jc w:val="left"/>
      </w:pPr>
      <w:r>
        <w:rPr>
          <w:rFonts w:ascii="Times New Roman" w:cs="Times New Roman" w:eastAsia="Times New Roman" w:hAnsi="Times New Roman"/>
          <w:b/>
          <w:bCs/>
          <w:sz w:val="24"/>
          <w:szCs w:val="24"/>
        </w:rPr>
        <w:t xml:space="preserve">V. In ulteriore subordine: vizi formali e procedurali.</w:t>
      </w:r>
    </w:p>
    <w:p>
      <w:pPr>
        <w:pStyle w:val="Atto"/>
        <w:spacing w:after="120" w:before="0" w:line="360"/>
        <w:jc w:val="both"/>
      </w:pPr>
      <w:r>
        <w:rPr>
          <w:rFonts w:ascii="Times New Roman" w:cs="Times New Roman" w:eastAsia="Times New Roman" w:hAnsi="Times New Roman"/>
          <w:i/>
          <w:iCs/>
          <w:sz w:val="24"/>
          <w:szCs w:val="24"/>
          <w:highlight w:val="yellow"/>
          <w:highlightCs w:val="yellow"/>
        </w:rPr>
        <w:t xml:space="preserve">[violazione dell'art. 2, comma 2, l. 604/1966 (motivazione) / dell'art. 7 l. 300/1970 (contestazione, difesa, termine di cinque giorni) </w:t>
      </w:r>
      <w:r>
        <w:rPr>
          <w:rFonts w:ascii="Cambria Math" w:cs="Cambria Math" w:eastAsia="Cambria Math" w:hAnsi="Cambria Math"/>
          <w:i/>
          <w:iCs/>
          <w:color w:val="7A817E"/>
          <w:sz w:val="24"/>
          <w:szCs w:val="24"/>
          <w:highlight w:val="yellow"/>
          <w:highlightCs w:val="yellow"/>
        </w:rPr>
        <w:t xml:space="preserve">⟦</w:t>
      </w:r>
      <w:r>
        <w:rPr>
          <w:rFonts w:ascii="Times New Roman" w:cs="Times New Roman" w:eastAsia="Times New Roman" w:hAnsi="Times New Roman"/>
          <w:i/>
          <w:iCs/>
          <w:sz w:val="24"/>
          <w:szCs w:val="24"/>
          <w:highlight w:val="yellow"/>
          <w:highlightCs w:val="yellow"/>
        </w:rPr>
        <w:t xml:space="preserve"> / dell'art. 7 l. 604/1966 </w:t>
      </w:r>
      <w:r>
        <w:rPr>
          <w:rFonts w:ascii="Cambria Math" w:cs="Cambria Math" w:eastAsia="Cambria Math" w:hAnsi="Cambria Math"/>
          <w:i/>
          <w:iCs/>
          <w:color w:val="7A817E"/>
          <w:sz w:val="24"/>
          <w:szCs w:val="24"/>
          <w:highlight w:val="yellow"/>
          <w:highlightCs w:val="yellow"/>
        </w:rPr>
        <w:t xml:space="preserve">⟧</w:t>
      </w:r>
      <w:r>
        <w:rPr>
          <w:rFonts w:ascii="Times New Roman" w:cs="Times New Roman" w:eastAsia="Times New Roman" w:hAnsi="Times New Roman"/>
          <w:i/>
          <w:iCs/>
          <w:sz w:val="24"/>
          <w:szCs w:val="24"/>
          <w:highlight w:val="yellow"/>
          <w:highlightCs w:val="yellow"/>
        </w:rPr>
        <w:t xml:space="preserve">]</w:t>
      </w:r>
      <w:r>
        <w:rPr>
          <w:rFonts w:ascii="Times New Roman" w:cs="Times New Roman" w:eastAsia="Times New Roman" w:hAnsi="Times New Roman"/>
          <w:sz w:val="24"/>
          <w:szCs w:val="24"/>
        </w:rPr>
        <w:t xml:space="preserve">:</w:t>
      </w:r>
    </w:p>
    <w:tbl>
      <w:tblPr>
        <w:tblW w:type="dxa" w:w="9072"/>
        <w:tblBorders>
          <w:top w:val="single" w:color="BFBFBF" w:sz="4"/>
          <w:left w:val="single" w:color="7A817E" w:sz="18"/>
          <w:bottom w:val="single" w:color="BFBFBF" w:sz="4"/>
          <w:right w:val="single" w:color="BFBFBF" w:sz="4"/>
          <w:insideH w:val="none" w:color="FFFFFF" w:sz="0"/>
          <w:insideV w:val="none" w:color="FFFFFF" w:sz="0"/>
        </w:tblBorders>
        <w:tblLayout w:type="fixed"/>
      </w:tblPr>
      <w:tblGrid>
        <w:gridCol w:w="9072"/>
      </w:tblGrid>
      <w:tr>
        <w:trPr>
          <w:cantSplit w:val="false"/>
        </w:trPr>
        <w:tc>
          <w:tcPr>
            <w:tcW w:type="dxa" w:w="9072"/>
            <w:tcBorders>
              <w:top w:val="single" w:color="BFBFBF" w:sz="4"/>
              <w:left w:val="single" w:color="7A817E" w:sz="18"/>
              <w:bottom w:val="single" w:color="BFBFBF" w:sz="4"/>
              <w:right w:val="single" w:color="BFBFBF" w:sz="4"/>
            </w:tcBorders>
            <w:shd w:fill="F2F2F2" w:color="auto" w:val="clear"/>
            <w:tcMar>
              <w:top w:type="dxa" w:w="90"/>
              <w:left w:type="dxa" w:w="160"/>
              <w:bottom w:type="dxa" w:w="40"/>
              <w:right w:type="dxa" w:w="140"/>
            </w:tcMar>
          </w:tcPr>
          <w:p>
            <w:pPr>
              <w:pStyle w:val="DidascaliaVariante"/>
              <w:keepNext/>
              <w:spacing w:after="80" w:before="0"/>
            </w:pPr>
            <w:r>
              <w:rPr>
                <w:rFonts w:ascii="Calibri" w:cs="Calibri" w:eastAsia="Calibri" w:hAnsi="Calibri"/>
                <w:b/>
                <w:bCs/>
                <w:color w:val="4F5654"/>
                <w:spacing w:val="24"/>
                <w:sz w:val="15"/>
                <w:szCs w:val="15"/>
              </w:rPr>
              <w:t xml:space="preserve">VARIANTE — scegliere e cancellare le altre</w:t>
            </w:r>
          </w:p>
          <w:p>
            <w:pPr>
              <w:pStyle w:val="AttoRiquadro"/>
              <w:spacing w:after="60" w:before="0" w:line="276"/>
              <w:jc w:val="left"/>
            </w:pPr>
            <w:r>
              <w:rPr>
                <w:rFonts w:ascii="Times New Roman" w:cs="Times New Roman" w:eastAsia="Times New Roman" w:hAnsi="Times New Roman"/>
                <w:sz w:val="22"/>
                <w:szCs w:val="22"/>
              </w:rPr>
              <w:t xml:space="preserve">art. 4 d.lgs. 23/2015: indennità tra 2 e 12 mensilità, senza l'automatismo «una mensilità per anno» eliminato dalla sentenza n. 150 del 2020</w:t>
            </w:r>
          </w:p>
          <w:p>
            <w:pPr>
              <w:pStyle w:val="AttoRiquadro"/>
              <w:pBdr>
                <w:bottom w:val="dashed" w:color="A6A6A6" w:sz="4" w:space="1"/>
              </w:pBdr>
              <w:spacing w:after="70" w:before="20" w:line="40" w:lineRule="exact"/>
            </w:pPr>
          </w:p>
          <w:p>
            <w:pPr>
              <w:pStyle w:val="AttoRiquadro"/>
              <w:spacing w:after="60" w:before="0" w:line="276"/>
              <w:jc w:val="left"/>
            </w:pPr>
            <w:r>
              <w:rPr>
                <w:rFonts w:ascii="Times New Roman" w:cs="Times New Roman" w:eastAsia="Times New Roman" w:hAnsi="Times New Roman"/>
                <w:sz w:val="22"/>
                <w:szCs w:val="22"/>
              </w:rPr>
              <w:t xml:space="preserve">art. 18, sesto comma: indennità tra 6 e 12 mensilità.</w:t>
            </w:r>
          </w:p>
        </w:tc>
      </w:tr>
    </w:tbl>
    <w:p>
      <w:pPr>
        <w:spacing w:after="0" w:before="0" w:line="160"/>
      </w:pPr>
    </w:p>
    <w:p>
      <w:pPr>
        <w:pStyle w:val="Atto"/>
        <w:keepNext/>
        <w:spacing w:after="120" w:before="240" w:line="360"/>
        <w:jc w:val="center"/>
      </w:pPr>
      <w:r>
        <w:rPr>
          <w:rFonts w:ascii="Times New Roman" w:cs="Times New Roman" w:eastAsia="Times New Roman" w:hAnsi="Times New Roman"/>
          <w:b/>
          <w:bCs/>
          <w:spacing w:val="20"/>
          <w:sz w:val="24"/>
          <w:szCs w:val="24"/>
        </w:rPr>
        <w:t xml:space="preserve">ISTANZA EX ART. 441-BIS C.P.C. </w:t>
      </w:r>
      <w:hyperlink w:history="1" w:anchor="nota_B5">
        <w:r>
          <w:rPr>
            <w:rFonts w:ascii="Calibri" w:cs="Calibri" w:eastAsia="Calibri" w:hAnsi="Calibri"/>
            <w:color w:val="7A817E"/>
            <w:sz w:val="18"/>
            <w:szCs w:val="18"/>
            <w:vertAlign w:val="superscript"/>
          </w:rPr>
          <w:t xml:space="preserve">(B5)</w:t>
        </w:r>
      </w:hyperlink>
    </w:p>
    <w:p>
      <w:pPr>
        <w:pStyle w:val="Atto"/>
        <w:spacing w:after="120" w:before="0" w:line="360"/>
        <w:jc w:val="both"/>
      </w:pPr>
      <w:r>
        <w:rPr>
          <w:rFonts w:ascii="Times New Roman" w:cs="Times New Roman" w:eastAsia="Times New Roman" w:hAnsi="Times New Roman"/>
          <w:sz w:val="24"/>
          <w:szCs w:val="24"/>
        </w:rPr>
        <w:t xml:space="preserve">Poiché il ricorso propone domanda di reintegrazione nel posto di lavoro, si chiede che la causa sia trattata e decisa con carattere prioritario e, tenuto conto di </w:t>
      </w:r>
      <w:r>
        <w:rPr>
          <w:rFonts w:ascii="Times New Roman" w:cs="Times New Roman" w:eastAsia="Times New Roman" w:hAnsi="Times New Roman"/>
          <w:sz w:val="24"/>
          <w:szCs w:val="24"/>
          <w:highlight w:val="yellow"/>
          <w:highlightCs w:val="yellow"/>
        </w:rPr>
        <w:t xml:space="preserve">[circostanze: assenza di reddito, carichi familiari, ____]</w:t>
      </w:r>
      <w:r>
        <w:rPr>
          <w:rFonts w:ascii="Times New Roman" w:cs="Times New Roman" w:eastAsia="Times New Roman" w:hAnsi="Times New Roman"/>
          <w:sz w:val="24"/>
          <w:szCs w:val="24"/>
        </w:rPr>
        <w:t xml:space="preserve">, che i termini del procedimento siano ridotti fino alla metà, fermo il termine minimo di venti giorni tra la notificazione e l'udienza.</w:t>
      </w:r>
    </w:p>
    <w:p>
      <w:pPr>
        <w:pStyle w:val="Atto"/>
        <w:keepNext/>
        <w:spacing w:after="120" w:before="240" w:line="360"/>
        <w:jc w:val="center"/>
      </w:pPr>
      <w:r>
        <w:rPr>
          <w:rFonts w:ascii="Times New Roman" w:cs="Times New Roman" w:eastAsia="Times New Roman" w:hAnsi="Times New Roman"/>
          <w:b/>
          <w:bCs/>
          <w:spacing w:val="20"/>
          <w:sz w:val="24"/>
          <w:szCs w:val="24"/>
        </w:rPr>
        <w:t xml:space="preserve">CONCLUSIONI</w:t>
      </w:r>
    </w:p>
    <w:p>
      <w:pPr>
        <w:pStyle w:val="Atto"/>
        <w:spacing w:after="120" w:before="0" w:line="360"/>
        <w:jc w:val="both"/>
      </w:pPr>
      <w:r>
        <w:rPr>
          <w:rFonts w:ascii="Times New Roman" w:cs="Times New Roman" w:eastAsia="Times New Roman" w:hAnsi="Times New Roman"/>
          <w:sz w:val="24"/>
          <w:szCs w:val="24"/>
        </w:rPr>
        <w:t xml:space="preserve">Voglia l'Ill.mo Tribunale, in funzione di giudice del lavoro, contrariis reiectis:</w:t>
      </w:r>
    </w:p>
    <w:p>
      <w:pPr>
        <w:pStyle w:val="Atto"/>
        <w:numPr>
          <w:ilvl w:val="0"/>
          <w:numId w:val="3"/>
        </w:numPr>
        <w:spacing w:after="120" w:before="0" w:line="360"/>
        <w:ind w:left="567" w:hanging="567"/>
        <w:jc w:val="both"/>
      </w:pPr>
      <w:r>
        <w:rPr>
          <w:rFonts w:ascii="Times New Roman" w:cs="Times New Roman" w:eastAsia="Times New Roman" w:hAnsi="Times New Roman"/>
          <w:sz w:val="24"/>
          <w:szCs w:val="24"/>
        </w:rPr>
        <w:t xml:space="preserve">in via principale, accertare e dichiarare la nullità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l'inefficacia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 del licenziamento intimato il </w:t>
      </w:r>
      <w:r>
        <w:rPr>
          <w:rFonts w:ascii="Times New Roman" w:cs="Times New Roman" w:eastAsia="Times New Roman" w:hAnsi="Times New Roman"/>
          <w:sz w:val="24"/>
          <w:szCs w:val="24"/>
          <w:highlight w:val="yellow"/>
          <w:highlightCs w:val="yellow"/>
        </w:rPr>
        <w:t xml:space="preserve">[data]</w:t>
      </w:r>
      <w:r>
        <w:rPr>
          <w:rFonts w:ascii="Times New Roman" w:cs="Times New Roman" w:eastAsia="Times New Roman" w:hAnsi="Times New Roman"/>
          <w:sz w:val="24"/>
          <w:szCs w:val="24"/>
        </w:rPr>
        <w:t xml:space="preserve"> e, per l'effetto, ordinare alla resistente la reintegrazione del ricorrente nel posto di lavoro e condannarla al pagamento dell'indennità risarcitoria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ex art. 2, comma 2, d.lgs. 23/2015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ex art. 18, secondo comma, l. 300/1970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 dal licenziamento all'effettiva reintegrazione, comunque non inferiore a cinque mensilità, oltre al versamento dei contributi previdenziali e assistenziali;</w:t>
      </w:r>
    </w:p>
    <w:p>
      <w:pPr>
        <w:pStyle w:val="Atto"/>
        <w:numPr>
          <w:ilvl w:val="0"/>
          <w:numId w:val="3"/>
        </w:numPr>
        <w:spacing w:after="120" w:before="0" w:line="360"/>
        <w:ind w:left="567" w:hanging="567"/>
        <w:jc w:val="both"/>
      </w:pPr>
      <w:r>
        <w:rPr>
          <w:rFonts w:ascii="Times New Roman" w:cs="Times New Roman" w:eastAsia="Times New Roman" w:hAnsi="Times New Roman"/>
          <w:sz w:val="24"/>
          <w:szCs w:val="24"/>
        </w:rPr>
        <w:t xml:space="preserve">in subordine, accertata l'insussistenza del fatto materiale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contestato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allegato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 annullare il licenziamento e ordinare la reintegrazione con l'indennità risarcitoria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ex art. 3, comma 2, d.lgs. 23/2015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ex art. 18, quarto comma, l. 300/1970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 nella misura massima di dodici mensilità, oltre contributi;</w:t>
      </w:r>
    </w:p>
    <w:p>
      <w:pPr>
        <w:pStyle w:val="Atto"/>
        <w:numPr>
          <w:ilvl w:val="0"/>
          <w:numId w:val="3"/>
        </w:numPr>
        <w:spacing w:after="120" w:before="0" w:line="360"/>
        <w:ind w:left="567" w:hanging="567"/>
        <w:jc w:val="both"/>
      </w:pPr>
      <w:r>
        <w:rPr>
          <w:rFonts w:ascii="Times New Roman" w:cs="Times New Roman" w:eastAsia="Times New Roman" w:hAnsi="Times New Roman"/>
          <w:sz w:val="24"/>
          <w:szCs w:val="24"/>
        </w:rPr>
        <w:t xml:space="preserve">in ulteriore subordine, dichiarare estinto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risolto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 il rapporto alla data del licenziamento e condannare la resistente al pagamento dell'indennità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ex art. 3, comma 1, d.lgs. 23/2015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ex art. 18, quinto comma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 nella misura di </w:t>
      </w:r>
      <w:r>
        <w:rPr>
          <w:rFonts w:ascii="Times New Roman" w:cs="Times New Roman" w:eastAsia="Times New Roman" w:hAnsi="Times New Roman"/>
          <w:sz w:val="24"/>
          <w:szCs w:val="24"/>
          <w:highlight w:val="yellow"/>
          <w:highlightCs w:val="yellow"/>
        </w:rPr>
        <w:t xml:space="preserve">[__]</w:t>
      </w:r>
      <w:r>
        <w:rPr>
          <w:rFonts w:ascii="Times New Roman" w:cs="Times New Roman" w:eastAsia="Times New Roman" w:hAnsi="Times New Roman"/>
          <w:sz w:val="24"/>
          <w:szCs w:val="24"/>
        </w:rPr>
        <w:t xml:space="preserve"> mensilità o in quella ritenuta di giustizia;</w:t>
      </w:r>
    </w:p>
    <w:tbl>
      <w:tblPr>
        <w:tblW w:type="dxa" w:w="8505"/>
        <w:tblInd w:type="dxa" w:w="567"/>
        <w:tblBorders>
          <w:top w:val="single" w:color="BFBFBF" w:sz="4"/>
          <w:left w:val="single" w:color="7A817E" w:sz="18"/>
          <w:bottom w:val="single" w:color="BFBFBF" w:sz="4"/>
          <w:right w:val="single" w:color="BFBFBF" w:sz="4"/>
          <w:insideH w:val="none" w:color="FFFFFF" w:sz="0"/>
          <w:insideV w:val="none" w:color="FFFFFF" w:sz="0"/>
        </w:tblBorders>
        <w:tblLayout w:type="fixed"/>
      </w:tblPr>
      <w:tblGrid>
        <w:gridCol w:w="8505"/>
      </w:tblGrid>
      <w:tr>
        <w:trPr>
          <w:cantSplit w:val="false"/>
        </w:trPr>
        <w:tc>
          <w:tcPr>
            <w:tcW w:type="dxa" w:w="8505"/>
            <w:tcBorders>
              <w:top w:val="single" w:color="BFBFBF" w:sz="4"/>
              <w:left w:val="single" w:color="7A817E" w:sz="18"/>
              <w:bottom w:val="single" w:color="BFBFBF" w:sz="4"/>
              <w:right w:val="single" w:color="BFBFBF" w:sz="4"/>
            </w:tcBorders>
            <w:shd w:fill="F2F2F2" w:color="auto" w:val="clear"/>
            <w:tcMar>
              <w:top w:type="dxa" w:w="90"/>
              <w:left w:type="dxa" w:w="160"/>
              <w:bottom w:type="dxa" w:w="40"/>
              <w:right w:type="dxa" w:w="140"/>
            </w:tcMar>
          </w:tcPr>
          <w:p>
            <w:pPr>
              <w:pStyle w:val="DidascaliaVariante"/>
              <w:keepNext/>
              <w:spacing w:after="80" w:before="0"/>
            </w:pPr>
            <w:r>
              <w:rPr>
                <w:rFonts w:ascii="Calibri" w:cs="Calibri" w:eastAsia="Calibri" w:hAnsi="Calibri"/>
                <w:b/>
                <w:bCs/>
                <w:color w:val="4F5654"/>
                <w:spacing w:val="24"/>
                <w:sz w:val="15"/>
                <w:szCs w:val="15"/>
              </w:rPr>
              <w:t xml:space="preserve">VARIANTE — mantenere o cancellare</w:t>
            </w:r>
          </w:p>
          <w:p>
            <w:pPr>
              <w:pStyle w:val="AttoRiquadro"/>
              <w:spacing w:after="60" w:before="0" w:line="276"/>
              <w:jc w:val="left"/>
            </w:pPr>
            <w:r>
              <w:rPr>
                <w:rFonts w:ascii="Times New Roman" w:cs="Times New Roman" w:eastAsia="Times New Roman" w:hAnsi="Times New Roman"/>
                <w:sz w:val="22"/>
                <w:szCs w:val="22"/>
              </w:rPr>
              <w:t xml:space="preserve">VARIANTE tutela obbligatoria: dichiarare illegittimo il licenziamento e condannare la resistente a riassumere il ricorrente entro tre giorni o, in mancanza, a risarcirgli il danno versandogli un'indennità di </w:t>
            </w:r>
            <w:r>
              <w:rPr>
                <w:rFonts w:ascii="Times New Roman" w:cs="Times New Roman" w:eastAsia="Times New Roman" w:hAnsi="Times New Roman"/>
                <w:sz w:val="22"/>
                <w:szCs w:val="22"/>
                <w:highlight w:val="yellow"/>
                <w:highlightCs w:val="yellow"/>
              </w:rPr>
              <w:t xml:space="preserve">[__]</w:t>
            </w:r>
            <w:r>
              <w:rPr>
                <w:rFonts w:ascii="Times New Roman" w:cs="Times New Roman" w:eastAsia="Times New Roman" w:hAnsi="Times New Roman"/>
                <w:sz w:val="22"/>
                <w:szCs w:val="22"/>
              </w:rPr>
              <w:t xml:space="preserve"> mensilità dell'ultima retribuzione globale di fatto, tra 2,5 e 6 </w:t>
            </w:r>
            <w:r>
              <w:rPr>
                <w:rFonts w:ascii="Times New Roman" w:cs="Times New Roman" w:eastAsia="Times New Roman" w:hAnsi="Times New Roman"/>
                <w:sz w:val="22"/>
                <w:szCs w:val="22"/>
                <w:highlight w:val="yellow"/>
                <w:highlightCs w:val="yellow"/>
              </w:rPr>
              <w:t xml:space="preserve">[fino a 10/14]</w:t>
            </w:r>
            <w:r>
              <w:rPr>
                <w:rFonts w:ascii="Times New Roman" w:cs="Times New Roman" w:eastAsia="Times New Roman" w:hAnsi="Times New Roman"/>
                <w:sz w:val="22"/>
                <w:szCs w:val="22"/>
              </w:rPr>
              <w:t xml:space="preserve">, ai sensi dell'art. 8 l. 604/1966;</w:t>
            </w:r>
          </w:p>
        </w:tc>
      </w:tr>
    </w:tbl>
    <w:p>
      <w:pPr>
        <w:spacing w:after="0" w:before="0" w:line="160"/>
      </w:pPr>
    </w:p>
    <w:p>
      <w:pPr>
        <w:pStyle w:val="Atto"/>
        <w:numPr>
          <w:ilvl w:val="0"/>
          <w:numId w:val="3"/>
        </w:numPr>
        <w:spacing w:after="120" w:before="0" w:line="360"/>
        <w:ind w:left="567" w:hanging="567"/>
        <w:jc w:val="both"/>
      </w:pPr>
      <w:r>
        <w:rPr>
          <w:rFonts w:ascii="Times New Roman" w:cs="Times New Roman" w:eastAsia="Times New Roman" w:hAnsi="Times New Roman"/>
          <w:sz w:val="24"/>
          <w:szCs w:val="24"/>
        </w:rPr>
        <w:t xml:space="preserve">in via ancora subordinata, condannare la resistente all'indennità per vizi formali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ex art. 4 d.lgs. 23/2015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ex art. 18, sesto comma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 nella misura di </w:t>
      </w:r>
      <w:r>
        <w:rPr>
          <w:rFonts w:ascii="Times New Roman" w:cs="Times New Roman" w:eastAsia="Times New Roman" w:hAnsi="Times New Roman"/>
          <w:sz w:val="24"/>
          <w:szCs w:val="24"/>
          <w:highlight w:val="yellow"/>
          <w:highlightCs w:val="yellow"/>
        </w:rPr>
        <w:t xml:space="preserve">[__]</w:t>
      </w:r>
      <w:r>
        <w:rPr>
          <w:rFonts w:ascii="Times New Roman" w:cs="Times New Roman" w:eastAsia="Times New Roman" w:hAnsi="Times New Roman"/>
          <w:sz w:val="24"/>
          <w:szCs w:val="24"/>
        </w:rPr>
        <w:t xml:space="preserve"> mensilità;</w:t>
      </w:r>
    </w:p>
    <w:p>
      <w:pPr>
        <w:pStyle w:val="Atto"/>
        <w:numPr>
          <w:ilvl w:val="0"/>
          <w:numId w:val="3"/>
        </w:numPr>
        <w:spacing w:after="120" w:before="0" w:line="360"/>
        <w:ind w:left="567" w:hanging="567"/>
        <w:jc w:val="both"/>
      </w:pPr>
      <w:r>
        <w:rPr>
          <w:rFonts w:ascii="Times New Roman" w:cs="Times New Roman" w:eastAsia="Times New Roman" w:hAnsi="Times New Roman"/>
          <w:sz w:val="24"/>
          <w:szCs w:val="24"/>
        </w:rPr>
        <w:t xml:space="preserve">in ogni caso, con interessi legali e rivalutazione monetaria come per legge, e con vittoria di spese e compensi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da distrarsi in favore del difensore antistatario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w:t>
      </w:r>
    </w:p>
    <w:p>
      <w:pPr>
        <w:pStyle w:val="Atto"/>
        <w:numPr>
          <w:ilvl w:val="0"/>
          <w:numId w:val="3"/>
        </w:numPr>
        <w:spacing w:after="120" w:before="0" w:line="360"/>
        <w:ind w:left="567" w:hanging="567"/>
        <w:jc w:val="both"/>
      </w:pPr>
      <w:r>
        <w:rPr>
          <w:rFonts w:ascii="Times New Roman" w:cs="Times New Roman" w:eastAsia="Times New Roman" w:hAnsi="Times New Roman"/>
          <w:sz w:val="24"/>
          <w:szCs w:val="24"/>
        </w:rPr>
        <w:t xml:space="preserve">Ai fini del contributo unificato si dichiara che il valore della causa è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indeterminabile </w:t>
      </w:r>
      <w:r>
        <w:rPr>
          <w:rFonts w:ascii="Cambria Math" w:cs="Cambria Math" w:eastAsia="Cambria Math" w:hAnsi="Cambria Math"/>
          <w:color w:val="7A817E"/>
          <w:sz w:val="24"/>
          <w:szCs w:val="24"/>
        </w:rPr>
        <w:t xml:space="preserve">⟧</w:t>
      </w:r>
    </w:p>
    <w:tbl>
      <w:tblPr>
        <w:tblW w:type="dxa" w:w="8505"/>
        <w:tblInd w:type="dxa" w:w="567"/>
        <w:tblBorders>
          <w:top w:val="single" w:color="BFBFBF" w:sz="4"/>
          <w:left w:val="single" w:color="7A817E" w:sz="18"/>
          <w:bottom w:val="single" w:color="BFBFBF" w:sz="4"/>
          <w:right w:val="single" w:color="BFBFBF" w:sz="4"/>
          <w:insideH w:val="none" w:color="FFFFFF" w:sz="0"/>
          <w:insideV w:val="none" w:color="FFFFFF" w:sz="0"/>
        </w:tblBorders>
        <w:tblLayout w:type="fixed"/>
      </w:tblPr>
      <w:tblGrid>
        <w:gridCol w:w="8505"/>
      </w:tblGrid>
      <w:tr>
        <w:trPr>
          <w:cantSplit w:val="false"/>
        </w:trPr>
        <w:tc>
          <w:tcPr>
            <w:tcW w:type="dxa" w:w="8505"/>
            <w:tcBorders>
              <w:top w:val="single" w:color="BFBFBF" w:sz="4"/>
              <w:left w:val="single" w:color="7A817E" w:sz="18"/>
              <w:bottom w:val="single" w:color="BFBFBF" w:sz="4"/>
              <w:right w:val="single" w:color="BFBFBF" w:sz="4"/>
            </w:tcBorders>
            <w:shd w:fill="F2F2F2" w:color="auto" w:val="clear"/>
            <w:tcMar>
              <w:top w:type="dxa" w:w="90"/>
              <w:left w:type="dxa" w:w="160"/>
              <w:bottom w:type="dxa" w:w="40"/>
              <w:right w:type="dxa" w:w="140"/>
            </w:tcMar>
          </w:tcPr>
          <w:p>
            <w:pPr>
              <w:pStyle w:val="DidascaliaVariante"/>
              <w:keepNext/>
              <w:spacing w:after="80" w:before="0"/>
            </w:pPr>
            <w:r>
              <w:rPr>
                <w:rFonts w:ascii="Calibri" w:cs="Calibri" w:eastAsia="Calibri" w:hAnsi="Calibri"/>
                <w:b/>
                <w:bCs/>
                <w:color w:val="4F5654"/>
                <w:spacing w:val="24"/>
                <w:sz w:val="15"/>
                <w:szCs w:val="15"/>
              </w:rPr>
              <w:t xml:space="preserve">VARIANTE — scegliere e cancellare le altre</w:t>
            </w:r>
          </w:p>
          <w:p>
            <w:pPr>
              <w:pStyle w:val="AttoRiquadro"/>
              <w:spacing w:after="60" w:before="0" w:line="276"/>
              <w:jc w:val="left"/>
            </w:pPr>
            <w:r>
              <w:rPr>
                <w:rFonts w:ascii="Times New Roman" w:cs="Times New Roman" w:eastAsia="Times New Roman" w:hAnsi="Times New Roman"/>
                <w:sz w:val="22"/>
                <w:szCs w:val="22"/>
              </w:rPr>
              <w:t xml:space="preserve">pari a euro </w:t>
            </w:r>
            <w:r>
              <w:rPr>
                <w:rFonts w:ascii="Times New Roman" w:cs="Times New Roman" w:eastAsia="Times New Roman" w:hAnsi="Times New Roman"/>
                <w:sz w:val="22"/>
                <w:szCs w:val="22"/>
                <w:highlight w:val="yellow"/>
                <w:highlightCs w:val="yellow"/>
              </w:rPr>
              <w:t xml:space="preserve">[____]</w:t>
            </w:r>
          </w:p>
          <w:p>
            <w:pPr>
              <w:pStyle w:val="AttoRiquadro"/>
              <w:pBdr>
                <w:bottom w:val="dashed" w:color="A6A6A6" w:sz="4" w:space="1"/>
              </w:pBdr>
              <w:spacing w:after="70" w:before="20" w:line="40" w:lineRule="exact"/>
            </w:pPr>
          </w:p>
          <w:p>
            <w:pPr>
              <w:pStyle w:val="AttoRiquadro"/>
              <w:spacing w:after="60" w:before="0" w:line="276"/>
              <w:jc w:val="left"/>
            </w:pPr>
            <w:r>
              <w:rPr>
                <w:rFonts w:ascii="Times New Roman" w:cs="Times New Roman" w:eastAsia="Times New Roman" w:hAnsi="Times New Roman"/>
                <w:sz w:val="22"/>
                <w:szCs w:val="22"/>
              </w:rPr>
              <w:t xml:space="preserve">e che il ricorrente è esente ai sensi dell'art. 9, comma 1-bis, d.P.R. 115/2002, avendo un reddito imponibile, risultante dall'ultima dichiarazione, non superiore al triplo dell'importo dell'art. 76 del medesimo d.P.R. (dichiarazione allegata). </w:t>
            </w:r>
            <w:hyperlink w:history="1" w:anchor="nota_B6">
              <w:r>
                <w:rPr>
                  <w:rFonts w:ascii="Calibri" w:cs="Calibri" w:eastAsia="Calibri" w:hAnsi="Calibri"/>
                  <w:color w:val="7A817E"/>
                  <w:sz w:val="18"/>
                  <w:szCs w:val="18"/>
                  <w:vertAlign w:val="superscript"/>
                </w:rPr>
                <w:t xml:space="preserve">(B6)</w:t>
              </w:r>
            </w:hyperlink>
          </w:p>
        </w:tc>
      </w:tr>
    </w:tbl>
    <w:p>
      <w:pPr>
        <w:spacing w:after="0" w:before="0" w:line="160"/>
      </w:pPr>
    </w:p>
    <w:p>
      <w:pPr>
        <w:pStyle w:val="Atto"/>
        <w:keepNext/>
        <w:spacing w:after="120" w:before="240" w:line="360"/>
        <w:jc w:val="center"/>
      </w:pPr>
      <w:r>
        <w:rPr>
          <w:rFonts w:ascii="Times New Roman" w:cs="Times New Roman" w:eastAsia="Times New Roman" w:hAnsi="Times New Roman"/>
          <w:b/>
          <w:bCs/>
          <w:spacing w:val="20"/>
          <w:sz w:val="24"/>
          <w:szCs w:val="24"/>
        </w:rPr>
        <w:t xml:space="preserve">MEZZI DI PROVA </w:t>
      </w:r>
      <w:hyperlink w:history="1" w:anchor="nota_B7">
        <w:r>
          <w:rPr>
            <w:rFonts w:ascii="Calibri" w:cs="Calibri" w:eastAsia="Calibri" w:hAnsi="Calibri"/>
            <w:color w:val="7A817E"/>
            <w:sz w:val="18"/>
            <w:szCs w:val="18"/>
            <w:vertAlign w:val="superscript"/>
          </w:rPr>
          <w:t xml:space="preserve">(B7)</w:t>
        </w:r>
      </w:hyperlink>
    </w:p>
    <w:p>
      <w:pPr>
        <w:pStyle w:val="Atto"/>
        <w:spacing w:after="120" w:before="0" w:line="360"/>
        <w:jc w:val="both"/>
      </w:pPr>
      <w:r>
        <w:rPr>
          <w:rFonts w:ascii="Times New Roman" w:cs="Times New Roman" w:eastAsia="Times New Roman" w:hAnsi="Times New Roman"/>
          <w:b/>
          <w:bCs/>
          <w:sz w:val="24"/>
          <w:szCs w:val="24"/>
        </w:rPr>
        <w:t xml:space="preserve">Documenti:</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1) contratto di assunzione; 2) buste paga; 3) </w:t>
      </w:r>
      <w:r>
        <w:rPr>
          <w:rFonts w:ascii="Times New Roman" w:cs="Times New Roman" w:eastAsia="Times New Roman" w:hAnsi="Times New Roman"/>
          <w:sz w:val="24"/>
          <w:szCs w:val="24"/>
          <w:highlight w:val="yellow"/>
          <w:highlightCs w:val="yellow"/>
        </w:rPr>
        <w:t xml:space="preserve">[dimensioni del datore]</w:t>
      </w:r>
      <w:r>
        <w:rPr>
          <w:rFonts w:ascii="Times New Roman" w:cs="Times New Roman" w:eastAsia="Times New Roman" w:hAnsi="Times New Roman"/>
          <w:sz w:val="24"/>
          <w:szCs w:val="24"/>
        </w:rPr>
        <w:t xml:space="preserve">; 4) lettera di licenziamento; 5) contestazione e giustificazioni; 6) impugnazione e ricevuta di consegna; 7) </w:t>
      </w:r>
      <w:r>
        <w:rPr>
          <w:rFonts w:ascii="Times New Roman" w:cs="Times New Roman" w:eastAsia="Times New Roman" w:hAnsi="Times New Roman"/>
          <w:sz w:val="24"/>
          <w:szCs w:val="24"/>
          <w:highlight w:val="yellow"/>
          <w:highlightCs w:val="yellow"/>
        </w:rPr>
        <w:t xml:space="preserve">[altro]</w:t>
      </w:r>
      <w:r>
        <w:rPr>
          <w:rFonts w:ascii="Times New Roman" w:cs="Times New Roman" w:eastAsia="Times New Roman" w:hAnsi="Times New Roman"/>
          <w:sz w:val="24"/>
          <w:szCs w:val="24"/>
        </w:rPr>
        <w:t xml:space="preserve">.</w:t>
      </w:r>
    </w:p>
    <w:p>
      <w:pPr>
        <w:pStyle w:val="Atto"/>
        <w:spacing w:after="120" w:before="0" w:line="360"/>
        <w:jc w:val="both"/>
      </w:pPr>
      <w:r>
        <w:rPr>
          <w:rFonts w:ascii="Times New Roman" w:cs="Times New Roman" w:eastAsia="Times New Roman" w:hAnsi="Times New Roman"/>
          <w:sz w:val="24"/>
          <w:szCs w:val="24"/>
        </w:rPr>
        <w:t xml:space="preserve">Si chiede ammettersi prova per testi sui seguenti capitoli, preceduti da «vero che»:</w:t>
      </w:r>
    </w:p>
    <w:p>
      <w:pPr>
        <w:pStyle w:val="Atto"/>
        <w:spacing w:after="120" w:before="0" w:line="360"/>
        <w:ind w:left="907" w:hanging="454"/>
        <w:jc w:val="both"/>
      </w:pPr>
      <w:r>
        <w:rPr>
          <w:rFonts w:ascii="Times New Roman" w:cs="Times New Roman" w:eastAsia="Times New Roman" w:hAnsi="Times New Roman"/>
          <w:sz w:val="24"/>
          <w:szCs w:val="24"/>
        </w:rPr>
        <w:t xml:space="preserve">a)</w:t>
      </w:r>
      <w:r>
        <w:rPr>
          <w:rFonts w:ascii="Times New Roman" w:cs="Times New Roman" w:eastAsia="Times New Roman" w:hAnsi="Times New Roman"/>
          <w:sz w:val="24"/>
          <w:szCs w:val="24"/>
        </w:rPr>
        <w:tab/>
      </w:r>
      <w:r>
        <w:rPr>
          <w:rFonts w:ascii="Times New Roman" w:cs="Times New Roman" w:eastAsia="Times New Roman" w:hAnsi="Times New Roman"/>
          <w:sz w:val="24"/>
          <w:szCs w:val="24"/>
          <w:highlight w:val="yellow"/>
          <w:highlightCs w:val="yellow"/>
        </w:rPr>
        <w:t xml:space="preserve">[fatto specifico, con data e luogo]</w:t>
      </w:r>
      <w:r>
        <w:rPr>
          <w:rFonts w:ascii="Times New Roman" w:cs="Times New Roman" w:eastAsia="Times New Roman" w:hAnsi="Times New Roman"/>
          <w:sz w:val="24"/>
          <w:szCs w:val="24"/>
        </w:rPr>
        <w:t xml:space="preserve">;</w:t>
      </w:r>
    </w:p>
    <w:p>
      <w:pPr>
        <w:pStyle w:val="Atto"/>
        <w:spacing w:after="120" w:before="0" w:line="360"/>
        <w:ind w:left="907" w:hanging="454"/>
        <w:jc w:val="both"/>
      </w:pPr>
      <w:r>
        <w:rPr>
          <w:rFonts w:ascii="Times New Roman" w:cs="Times New Roman" w:eastAsia="Times New Roman" w:hAnsi="Times New Roman"/>
          <w:sz w:val="24"/>
          <w:szCs w:val="24"/>
        </w:rPr>
        <w:t xml:space="preserve">b)</w:t>
      </w:r>
      <w:r>
        <w:rPr>
          <w:rFonts w:ascii="Times New Roman" w:cs="Times New Roman" w:eastAsia="Times New Roman" w:hAnsi="Times New Roman"/>
          <w:sz w:val="24"/>
          <w:szCs w:val="24"/>
        </w:rPr>
        <w:tab/>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w:t>
      </w:r>
    </w:p>
    <w:p>
      <w:pPr>
        <w:pStyle w:val="Atto"/>
        <w:spacing w:after="120" w:before="0" w:line="360"/>
        <w:jc w:val="both"/>
      </w:pPr>
      <w:r>
        <w:rPr>
          <w:rFonts w:ascii="Times New Roman" w:cs="Times New Roman" w:eastAsia="Times New Roman" w:hAnsi="Times New Roman"/>
          <w:sz w:val="24"/>
          <w:szCs w:val="24"/>
        </w:rPr>
        <w:t xml:space="preserve">Si indicano a testi: </w:t>
      </w:r>
      <w:r>
        <w:rPr>
          <w:rFonts w:ascii="Times New Roman" w:cs="Times New Roman" w:eastAsia="Times New Roman" w:hAnsi="Times New Roman"/>
          <w:sz w:val="24"/>
          <w:szCs w:val="24"/>
          <w:highlight w:val="yellow"/>
          <w:highlightCs w:val="yellow"/>
        </w:rPr>
        <w:t xml:space="preserve">[nome, cognome, indirizzo]</w:t>
      </w:r>
      <w:r>
        <w:rPr>
          <w:rFonts w:ascii="Times New Roman" w:cs="Times New Roman" w:eastAsia="Times New Roman" w:hAnsi="Times New Roman"/>
          <w:sz w:val="24"/>
          <w:szCs w:val="24"/>
        </w:rPr>
        <w:t xml:space="preserve">.</w:t>
      </w:r>
    </w:p>
    <w:tbl>
      <w:tblPr>
        <w:tblW w:type="dxa" w:w="9072"/>
        <w:tblBorders>
          <w:top w:val="single" w:color="BFBFBF" w:sz="4"/>
          <w:left w:val="single" w:color="7A817E" w:sz="18"/>
          <w:bottom w:val="single" w:color="BFBFBF" w:sz="4"/>
          <w:right w:val="single" w:color="BFBFBF" w:sz="4"/>
          <w:insideH w:val="none" w:color="FFFFFF" w:sz="0"/>
          <w:insideV w:val="none" w:color="FFFFFF" w:sz="0"/>
        </w:tblBorders>
        <w:tblLayout w:type="fixed"/>
      </w:tblPr>
      <w:tblGrid>
        <w:gridCol w:w="9072"/>
      </w:tblGrid>
      <w:tr>
        <w:trPr>
          <w:cantSplit w:val="false"/>
        </w:trPr>
        <w:tc>
          <w:tcPr>
            <w:tcW w:type="dxa" w:w="9072"/>
            <w:tcBorders>
              <w:top w:val="single" w:color="BFBFBF" w:sz="4"/>
              <w:left w:val="single" w:color="7A817E" w:sz="18"/>
              <w:bottom w:val="single" w:color="BFBFBF" w:sz="4"/>
              <w:right w:val="single" w:color="BFBFBF" w:sz="4"/>
            </w:tcBorders>
            <w:shd w:fill="F2F2F2" w:color="auto" w:val="clear"/>
            <w:tcMar>
              <w:top w:type="dxa" w:w="90"/>
              <w:left w:type="dxa" w:w="160"/>
              <w:bottom w:type="dxa" w:w="40"/>
              <w:right w:type="dxa" w:w="140"/>
            </w:tcMar>
          </w:tcPr>
          <w:p>
            <w:pPr>
              <w:pStyle w:val="DidascaliaVariante"/>
              <w:keepNext/>
              <w:spacing w:after="80" w:before="0"/>
            </w:pPr>
            <w:r>
              <w:rPr>
                <w:rFonts w:ascii="Calibri" w:cs="Calibri" w:eastAsia="Calibri" w:hAnsi="Calibri"/>
                <w:b/>
                <w:bCs/>
                <w:color w:val="4F5654"/>
                <w:spacing w:val="24"/>
                <w:sz w:val="15"/>
                <w:szCs w:val="15"/>
              </w:rPr>
              <w:t xml:space="preserve">VARIANTE — mantenere o cancellare</w:t>
            </w:r>
          </w:p>
          <w:p>
            <w:pPr>
              <w:pStyle w:val="AttoRiquadro"/>
              <w:spacing w:after="60" w:before="0" w:line="276"/>
              <w:jc w:val="left"/>
            </w:pPr>
            <w:r>
              <w:rPr>
                <w:rFonts w:ascii="Times New Roman" w:cs="Times New Roman" w:eastAsia="Times New Roman" w:hAnsi="Times New Roman"/>
                <w:sz w:val="22"/>
                <w:szCs w:val="22"/>
              </w:rPr>
              <w:t xml:space="preserve">Si chiede l'interrogatorio libero delle parti e l'ordine di esibizione del libro unico del lavoro relativo al periodo </w:t>
            </w:r>
            <w:r>
              <w:rPr>
                <w:rFonts w:ascii="Times New Roman" w:cs="Times New Roman" w:eastAsia="Times New Roman" w:hAnsi="Times New Roman"/>
                <w:sz w:val="22"/>
                <w:szCs w:val="22"/>
                <w:highlight w:val="yellow"/>
                <w:highlightCs w:val="yellow"/>
              </w:rPr>
              <w:t xml:space="preserve">[____]</w:t>
            </w:r>
            <w:r>
              <w:rPr>
                <w:rFonts w:ascii="Times New Roman" w:cs="Times New Roman" w:eastAsia="Times New Roman" w:hAnsi="Times New Roman"/>
                <w:sz w:val="22"/>
                <w:szCs w:val="22"/>
              </w:rPr>
              <w:t xml:space="preserve">.</w:t>
            </w:r>
          </w:p>
        </w:tc>
      </w:tr>
    </w:tbl>
    <w:p>
      <w:pPr>
        <w:spacing w:after="0" w:before="0" w:line="160"/>
      </w:pP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90"/>
        <w:gridCol w:w="4082"/>
      </w:tblGrid>
      <w:tr>
        <w:trPr>
          <w:cantSplit/>
        </w:trPr>
        <w:tc>
          <w:tcPr>
            <w:tcW w:type="dxa" w:w="4990"/>
            <w:tcBorders>
              <w:top w:val="none" w:color="FFFFFF" w:sz="0"/>
              <w:left w:val="none" w:color="FFFFFF" w:sz="0"/>
              <w:bottom w:val="none" w:color="FFFFFF" w:sz="0"/>
              <w:right w:val="none" w:color="FFFFFF" w:sz="0"/>
            </w:tcBorders>
            <w:tcMar>
              <w:top w:type="dxa" w:w="20"/>
              <w:left w:type="dxa" w:w="60"/>
              <w:bottom w:type="dxa" w:w="20"/>
              <w:right w:type="dxa" w:w="60"/>
            </w:tcMar>
          </w:tcPr>
          <w:p>
            <w:pPr>
              <w:pStyle w:val="Atto"/>
              <w:spacing w:after="0" w:before="0" w:line="300"/>
              <w:jc w:val="left"/>
            </w:pPr>
            <w:r>
              <w:rPr>
                <w:rFonts w:ascii="Times New Roman" w:cs="Times New Roman" w:eastAsia="Times New Roman" w:hAnsi="Times New Roman"/>
                <w:sz w:val="24"/>
                <w:szCs w:val="24"/>
                <w:highlight w:val="yellow"/>
                <w:highlightCs w:val="yellow"/>
              </w:rPr>
              <w:t xml:space="preserve">[Luogo]</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highlight w:val="yellow"/>
                <w:highlightCs w:val="yellow"/>
              </w:rPr>
              <w:t xml:space="preserve">[data]</w:t>
            </w:r>
          </w:p>
        </w:tc>
        <w:tc>
          <w:tcPr>
            <w:tcW w:type="dxa" w:w="4082"/>
            <w:tcBorders>
              <w:top w:val="none" w:color="FFFFFF" w:sz="0"/>
              <w:left w:val="none" w:color="FFFFFF" w:sz="0"/>
              <w:bottom w:val="none" w:color="FFFFFF" w:sz="0"/>
              <w:right w:val="none" w:color="FFFFFF" w:sz="0"/>
            </w:tcBorders>
            <w:tcMar>
              <w:top w:type="dxa" w:w="20"/>
              <w:left w:type="dxa" w:w="60"/>
              <w:bottom w:type="dxa" w:w="20"/>
              <w:right w:type="dxa" w:w="60"/>
            </w:tcMar>
          </w:tcPr>
          <w:p>
            <w:pPr>
              <w:pStyle w:val="Atto"/>
              <w:spacing w:after="0" w:before="0" w:line="300"/>
              <w:jc w:val="left"/>
            </w:pPr>
            <w:r>
              <w:rPr>
                <w:rFonts w:ascii="Times New Roman" w:cs="Times New Roman" w:eastAsia="Times New Roman" w:hAnsi="Times New Roman"/>
                <w:sz w:val="24"/>
                <w:szCs w:val="24"/>
              </w:rPr>
              <w:t xml:space="preserve">Avv.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(firmato digitalmente)</w:t>
            </w:r>
          </w:p>
        </w:tc>
      </w:tr>
    </w:tbl>
    <w:p>
      <w:pPr>
        <w:spacing w:after="0" w:before="0" w:line="160"/>
      </w:pPr>
    </w:p>
    <w:p>
      <w:pPr>
        <w:sectPr>
          <w:footerReference w:type="default" r:id="rId8"/>
          <w:type w:val="nextPage"/>
          <w:pgSz w:w="11906" w:h="16838" w:orient="portrait"/>
          <w:pgMar w:top="1417" w:right="1417" w:bottom="1417" w:left="1417" w:header="680" w:footer="680" w:gutter="0"/>
          <w:pgNumType/>
          <w:docGrid w:linePitch="360"/>
        </w:sectPr>
      </w:pPr>
    </w:p>
    <w:p>
      <w:pPr>
        <w:pStyle w:val="NotaTitolo"/>
        <w:keepNext/>
        <w:spacing w:after="20" w:before="0" w:line="240"/>
        <w:jc w:val="left"/>
      </w:pPr>
      <w:bookmarkStart w:name="modello_3" w:id="3"/>
      <w:r>
        <w:rPr>
          <w:rFonts w:ascii="Calibri" w:cs="Calibri" w:eastAsia="Calibri" w:hAnsi="Calibri"/>
          <w:b/>
          <w:bCs/>
          <w:color w:val="7A817E"/>
          <w:spacing w:val="8"/>
          <w:sz w:val="16"/>
          <w:szCs w:val="16"/>
        </w:rPr>
        <w:t xml:space="preserve">MODELLO C — RICHIESTA DI TENTATIVO DI CONCILIAZIONE PRESSO LA COMMISSIONE (ART. 410 C.P.C.)</w:t>
      </w:r>
      <w:bookmarkEnd w:id="3"/>
    </w:p>
    <w:p>
      <w:pPr>
        <w:pStyle w:val="NotaTesta"/>
        <w:keepNext/>
        <w:spacing w:after="20" w:before="0" w:line="240"/>
        <w:jc w:val="left"/>
      </w:pPr>
      <w:r>
        <w:rPr>
          <w:rFonts w:ascii="Calibri" w:cs="Calibri" w:eastAsia="Calibri" w:hAnsi="Calibri"/>
          <w:color w:val="7A817E"/>
          <w:sz w:val="16"/>
          <w:szCs w:val="16"/>
        </w:rPr>
        <w:t xml:space="preserve">Bozza da adattare al caso concreto e da sottoscrivere dal difensore</w:t>
      </w:r>
    </w:p>
    <w:p>
      <w:pPr>
        <w:pStyle w:val="NotaTesta"/>
        <w:keepNext/>
        <w:pBdr>
          <w:bottom w:val="single" w:color="D9DAD2" w:sz="4" w:space="6"/>
        </w:pBdr>
        <w:spacing w:after="200" w:before="0" w:line="240"/>
        <w:jc w:val="left"/>
      </w:pPr>
      <w:r>
        <w:rPr>
          <w:rFonts w:ascii="Calibri" w:cs="Calibri" w:eastAsia="Calibri" w:hAnsi="Calibri"/>
          <w:color w:val="7A817E"/>
          <w:sz w:val="16"/>
          <w:szCs w:val="16"/>
        </w:rPr>
        <w:t xml:space="preserve">Legenda: </w:t>
      </w:r>
      <w:r>
        <w:rPr>
          <w:rFonts w:ascii="Calibri" w:cs="Calibri" w:eastAsia="Calibri" w:hAnsi="Calibri"/>
          <w:color w:val="16191A"/>
          <w:sz w:val="16"/>
          <w:szCs w:val="16"/>
          <w:highlight w:val="yellow"/>
          <w:highlightCs w:val="yellow"/>
        </w:rPr>
        <w:t xml:space="preserve">campo da compilare</w:t>
      </w:r>
      <w:r>
        <w:rPr>
          <w:rFonts w:ascii="Calibri" w:cs="Calibri" w:eastAsia="Calibri" w:hAnsi="Calibri"/>
          <w:color w:val="7A817E"/>
          <w:sz w:val="16"/>
          <w:szCs w:val="16"/>
        </w:rPr>
        <w:t xml:space="preserve">  ·  </w:t>
      </w:r>
      <w:r>
        <w:rPr>
          <w:rFonts w:ascii="Calibri" w:cs="Calibri" w:eastAsia="Calibri" w:hAnsi="Calibri"/>
          <w:color w:val="16191A"/>
          <w:sz w:val="16"/>
          <w:szCs w:val="16"/>
          <w:shd w:fill="DCDCDC" w:color="auto" w:val="clear"/>
        </w:rPr>
        <w:t xml:space="preserve">variante (fondo o riquadro grigio): scegliere e cancellare le altre</w:t>
      </w:r>
    </w:p>
    <w:p>
      <w:pPr>
        <w:pStyle w:val="Atto"/>
        <w:spacing w:after="120" w:before="0" w:line="360"/>
        <w:jc w:val="both"/>
      </w:pPr>
      <w:r>
        <w:rPr>
          <w:rFonts w:ascii="Times New Roman" w:cs="Times New Roman" w:eastAsia="Times New Roman" w:hAnsi="Times New Roman"/>
          <w:sz w:val="24"/>
          <w:szCs w:val="24"/>
        </w:rPr>
        <w:t xml:space="preserve">Alla Commissione di conciliazione presso </w:t>
      </w:r>
      <w:r>
        <w:rPr>
          <w:rFonts w:ascii="Times New Roman" w:cs="Times New Roman" w:eastAsia="Times New Roman" w:hAnsi="Times New Roman"/>
          <w:sz w:val="24"/>
          <w:szCs w:val="24"/>
          <w:highlight w:val="yellow"/>
          <w:highlightCs w:val="yellow"/>
        </w:rPr>
        <w:t xml:space="preserve">[Ispettorato/Direzione territoriale del lavoro di ____]</w:t>
      </w:r>
    </w:p>
    <w:p>
      <w:pPr>
        <w:pStyle w:val="Atto"/>
        <w:keepNext/>
        <w:spacing w:after="120" w:before="240" w:line="360"/>
        <w:jc w:val="center"/>
      </w:pPr>
      <w:r>
        <w:rPr>
          <w:rFonts w:ascii="Times New Roman" w:cs="Times New Roman" w:eastAsia="Times New Roman" w:hAnsi="Times New Roman"/>
          <w:b/>
          <w:bCs/>
          <w:spacing w:val="20"/>
          <w:sz w:val="24"/>
          <w:szCs w:val="24"/>
        </w:rPr>
        <w:t xml:space="preserve">RICHIESTA DI TENTATIVO DI CONCILIAZIONE (art. 410 c.p.c.)</w:t>
      </w:r>
    </w:p>
    <w:p>
      <w:pPr>
        <w:pStyle w:val="Atto"/>
        <w:spacing w:after="120" w:before="0" w:line="360"/>
        <w:ind w:left="907" w:hanging="454"/>
        <w:jc w:val="both"/>
      </w:pPr>
      <w:r>
        <w:rPr>
          <w:rFonts w:ascii="Times New Roman" w:cs="Times New Roman" w:eastAsia="Times New Roman" w:hAnsi="Times New Roman"/>
          <w:sz w:val="24"/>
          <w:szCs w:val="24"/>
        </w:rPr>
        <w:t xml:space="preserve">1)</w:t>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 xml:space="preserve">Istante: </w:t>
      </w:r>
      <w:r>
        <w:rPr>
          <w:rFonts w:ascii="Times New Roman" w:cs="Times New Roman" w:eastAsia="Times New Roman" w:hAnsi="Times New Roman"/>
          <w:sz w:val="24"/>
          <w:szCs w:val="24"/>
          <w:highlight w:val="yellow"/>
          <w:highlightCs w:val="yellow"/>
        </w:rPr>
        <w:t xml:space="preserve">[nome, cognome, residenza]</w:t>
      </w:r>
      <w:r>
        <w:rPr>
          <w:rFonts w:ascii="Times New Roman" w:cs="Times New Roman" w:eastAsia="Times New Roman" w:hAnsi="Times New Roman"/>
          <w:sz w:val="24"/>
          <w:szCs w:val="24"/>
        </w:rPr>
        <w:t xml:space="preserve">; convenuto: </w:t>
      </w:r>
      <w:r>
        <w:rPr>
          <w:rFonts w:ascii="Times New Roman" w:cs="Times New Roman" w:eastAsia="Times New Roman" w:hAnsi="Times New Roman"/>
          <w:sz w:val="24"/>
          <w:szCs w:val="24"/>
          <w:highlight w:val="yellow"/>
          <w:highlightCs w:val="yellow"/>
        </w:rPr>
        <w:t xml:space="preserve">[denominazione, sede]</w:t>
      </w:r>
      <w:r>
        <w:rPr>
          <w:rFonts w:ascii="Times New Roman" w:cs="Times New Roman" w:eastAsia="Times New Roman" w:hAnsi="Times New Roman"/>
          <w:sz w:val="24"/>
          <w:szCs w:val="24"/>
        </w:rPr>
        <w:t xml:space="preserve">.</w:t>
      </w:r>
    </w:p>
    <w:p>
      <w:pPr>
        <w:pStyle w:val="Atto"/>
        <w:spacing w:after="120" w:before="0" w:line="360"/>
        <w:ind w:left="907" w:hanging="454"/>
        <w:jc w:val="both"/>
      </w:pPr>
      <w:r>
        <w:rPr>
          <w:rFonts w:ascii="Times New Roman" w:cs="Times New Roman" w:eastAsia="Times New Roman" w:hAnsi="Times New Roman"/>
          <w:sz w:val="24"/>
          <w:szCs w:val="24"/>
        </w:rPr>
        <w:t xml:space="preserve">2)</w:t>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 xml:space="preserve">Luogo dove è sorto il rapporto / sede dell'azienda o dipendenza cui il lavoratore era addetto alla fine del rapporto: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w:t>
      </w:r>
    </w:p>
    <w:p>
      <w:pPr>
        <w:pStyle w:val="Atto"/>
        <w:spacing w:after="120" w:before="0" w:line="360"/>
        <w:ind w:left="907" w:hanging="454"/>
        <w:jc w:val="both"/>
      </w:pPr>
      <w:r>
        <w:rPr>
          <w:rFonts w:ascii="Times New Roman" w:cs="Times New Roman" w:eastAsia="Times New Roman" w:hAnsi="Times New Roman"/>
          <w:sz w:val="24"/>
          <w:szCs w:val="24"/>
        </w:rPr>
        <w:t xml:space="preserve">3)</w:t>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 xml:space="preserve">Luogo per le comunicazioni all'istante: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w:t>
      </w:r>
    </w:p>
    <w:p>
      <w:pPr>
        <w:pStyle w:val="Atto"/>
        <w:spacing w:after="120" w:before="0" w:line="360"/>
        <w:ind w:left="907" w:hanging="454"/>
        <w:jc w:val="both"/>
      </w:pPr>
      <w:r>
        <w:rPr>
          <w:rFonts w:ascii="Times New Roman" w:cs="Times New Roman" w:eastAsia="Times New Roman" w:hAnsi="Times New Roman"/>
          <w:sz w:val="24"/>
          <w:szCs w:val="24"/>
        </w:rPr>
        <w:t xml:space="preserve">4)</w:t>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 xml:space="preserve">Fatti e ragioni della pretesa: </w:t>
      </w:r>
      <w:r>
        <w:rPr>
          <w:rFonts w:ascii="Times New Roman" w:cs="Times New Roman" w:eastAsia="Times New Roman" w:hAnsi="Times New Roman"/>
          <w:sz w:val="24"/>
          <w:szCs w:val="24"/>
          <w:highlight w:val="yellow"/>
          <w:highlightCs w:val="yellow"/>
        </w:rPr>
        <w:t xml:space="preserve">[licenziamento del ____, impugnato il ____; motivi]</w:t>
      </w:r>
      <w:r>
        <w:rPr>
          <w:rFonts w:ascii="Times New Roman" w:cs="Times New Roman" w:eastAsia="Times New Roman" w:hAnsi="Times New Roman"/>
          <w:sz w:val="24"/>
          <w:szCs w:val="24"/>
        </w:rPr>
        <w:t xml:space="preserve">.</w:t>
      </w:r>
    </w:p>
    <w:p>
      <w:pPr>
        <w:pStyle w:val="Atto"/>
        <w:spacing w:after="120" w:before="0" w:line="360"/>
        <w:jc w:val="both"/>
      </w:pPr>
      <w:r>
        <w:rPr>
          <w:rFonts w:ascii="Times New Roman" w:cs="Times New Roman" w:eastAsia="Times New Roman" w:hAnsi="Times New Roman"/>
          <w:sz w:val="24"/>
          <w:szCs w:val="24"/>
          <w:highlight w:val="yellow"/>
          <w:highlightCs w:val="yellow"/>
        </w:rPr>
        <w:t xml:space="preserve">[data e firma dell'istante]</w:t>
      </w:r>
    </w:p>
    <w:p>
      <w:pPr>
        <w:sectPr>
          <w:footerReference w:type="default" r:id="rId9"/>
          <w:type w:val="nextPage"/>
          <w:pgSz w:w="11906" w:h="16838" w:orient="portrait"/>
          <w:pgMar w:top="1417" w:right="1417" w:bottom="1417" w:left="1417" w:header="680" w:footer="680" w:gutter="0"/>
          <w:pgNumType/>
          <w:docGrid w:linePitch="360"/>
        </w:sectPr>
      </w:pPr>
    </w:p>
    <w:p>
      <w:pPr>
        <w:pStyle w:val="Heading1"/>
        <w:pBdr>
          <w:top w:val="single" w:color="2F5546" w:sz="18" w:space="10"/>
        </w:pBdr>
      </w:pPr>
      <w:bookmarkStart w:name="istruzioni" w:id="4"/>
      <w:r>
        <w:rPr>
          <w:rFonts w:ascii="Georgia" w:cs="Georgia" w:eastAsia="Georgia" w:hAnsi="Georgia"/>
          <w:b/>
          <w:bCs/>
          <w:color w:val="2F5546"/>
          <w:sz w:val="48"/>
          <w:szCs w:val="48"/>
        </w:rPr>
        <w:t xml:space="preserve">Istruzioni per la compilazione</w:t>
      </w:r>
      <w:bookmarkEnd w:id="4"/>
    </w:p>
    <w:p>
      <w:pPr>
        <w:pStyle w:val="Subtitle"/>
      </w:pPr>
      <w:r>
        <w:rPr>
          <w:rFonts w:ascii="Calibri" w:cs="Calibri" w:eastAsia="Calibri" w:hAnsi="Calibri"/>
          <w:color w:val="16191A"/>
          <w:sz w:val="32"/>
          <w:szCs w:val="32"/>
        </w:rPr>
        <w:t xml:space="preserve">Impugnazione del licenziamento: lettera stragiudiziale e ricorso al giudice del lavoro</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val="false"/>
        </w:trPr>
        <w:tc>
          <w:tcPr>
            <w:tcW w:type="dxa" w:w="9638"/>
            <w:tcBorders>
              <w:top w:val="none" w:color="FFFFFF" w:sz="0"/>
              <w:left w:val="single" w:color="2F6A4A" w:sz="24"/>
              <w:bottom w:val="none" w:color="FFFFFF" w:sz="0"/>
              <w:right w:val="none" w:color="FFFFFF" w:sz="0"/>
            </w:tcBorders>
            <w:shd w:fill="E3EBE6" w:color="auto" w:val="clear"/>
            <w:tcMar>
              <w:top w:type="dxa" w:w="120"/>
              <w:left w:type="dxa" w:w="220"/>
              <w:bottom w:type="dxa" w:w="70"/>
              <w:right w:type="dxa" w:w="200"/>
            </w:tcMar>
          </w:tcPr>
          <w:p>
            <w:pPr>
              <w:pStyle w:val="Corpo"/>
              <w:spacing w:after="60" w:line="264"/>
              <w:jc w:val="left"/>
            </w:pPr>
            <w:r>
              <w:rPr>
                <w:rFonts w:ascii="Calibri" w:cs="Calibri" w:eastAsia="Calibri" w:hAnsi="Calibri"/>
                <w:b/>
                <w:bCs/>
                <w:sz w:val="20"/>
                <w:szCs w:val="20"/>
              </w:rPr>
              <w:t xml:space="preserve">Formulario Chiostro · Lavoro</w:t>
            </w:r>
            <w:r>
              <w:rPr>
                <w:sz w:val="20"/>
                <w:szCs w:val="20"/>
              </w:rPr>
              <w:br/>
            </w:r>
            <w:r>
              <w:rPr>
                <w:rFonts w:ascii="Calibri" w:cs="Calibri" w:eastAsia="Calibri" w:hAnsi="Calibri"/>
                <w:sz w:val="20"/>
                <w:szCs w:val="20"/>
              </w:rPr>
              <w:t xml:space="preserve">Due atti in sequenza obbligata: l'impugnazione scritta entro </w:t>
            </w:r>
            <w:r>
              <w:rPr>
                <w:rFonts w:ascii="Calibri" w:cs="Calibri" w:eastAsia="Calibri" w:hAnsi="Calibri"/>
                <w:b/>
                <w:bCs/>
                <w:sz w:val="20"/>
                <w:szCs w:val="20"/>
              </w:rPr>
              <w:t xml:space="preserve">60 giorni</w:t>
            </w:r>
            <w:r>
              <w:rPr>
                <w:rFonts w:ascii="Calibri" w:cs="Calibri" w:eastAsia="Calibri" w:hAnsi="Calibri"/>
                <w:sz w:val="20"/>
                <w:szCs w:val="20"/>
              </w:rPr>
              <w:t xml:space="preserve"> (art. 6, primo comma, l. 604/1966) e, entro i </w:t>
            </w:r>
            <w:r>
              <w:rPr>
                <w:rFonts w:ascii="Calibri" w:cs="Calibri" w:eastAsia="Calibri" w:hAnsi="Calibri"/>
                <w:b/>
                <w:bCs/>
                <w:sz w:val="20"/>
                <w:szCs w:val="20"/>
              </w:rPr>
              <w:t xml:space="preserve">180 giorni</w:t>
            </w:r>
            <w:r>
              <w:rPr>
                <w:rFonts w:ascii="Calibri" w:cs="Calibri" w:eastAsia="Calibri" w:hAnsi="Calibri"/>
                <w:sz w:val="20"/>
                <w:szCs w:val="20"/>
              </w:rPr>
              <w:t xml:space="preserve"> successivi, il deposito del ricorso (art. 414 c.p.c.), anche cautelare, o la richiesta di conciliazione o arbitrato. Con le tutele del d.lgs. 23/2015 come risultano dopo le sentenze della Corte costituzionale, l'art. 18 dello Statuto per gli assunti prima del 7 marzo 2015 e la tutela obbligatoria per i piccoli datori. Il rito Fornero non esiste più.</w:t>
            </w:r>
          </w:p>
        </w:tc>
      </w:tr>
    </w:tbl>
    <w:p>
      <w:pPr>
        <w:spacing w:after="0" w:before="0" w:line="120"/>
      </w:pPr>
    </w:p>
    <w:p>
      <w:pPr>
        <w:pStyle w:val="Heading2"/>
      </w:pPr>
      <w:r>
        <w:rPr>
          <w:rFonts w:ascii="Georgia" w:cs="Georgia" w:eastAsia="Georgia" w:hAnsi="Georgia"/>
          <w:b/>
          <w:bCs/>
        </w:rPr>
        <w:t xml:space="preserve">1. A che cosa serve e quando si usa</w:t>
      </w:r>
    </w:p>
    <w:p>
      <w:pPr>
        <w:pStyle w:val="Corpo"/>
        <w:keepNext w:val="false"/>
        <w:spacing w:after="100" w:line="264"/>
        <w:jc w:val="left"/>
      </w:pPr>
      <w:r>
        <w:rPr>
          <w:rFonts w:ascii="Calibri" w:cs="Calibri" w:eastAsia="Calibri" w:hAnsi="Calibri"/>
          <w:b/>
          <w:bCs/>
          <w:sz w:val="21"/>
          <w:szCs w:val="21"/>
        </w:rPr>
        <w:t xml:space="preserve">La lettera di impugnazione</w:t>
      </w:r>
      <w:r>
        <w:rPr>
          <w:rFonts w:ascii="Calibri" w:cs="Calibri" w:eastAsia="Calibri" w:hAnsi="Calibri"/>
          <w:sz w:val="21"/>
          <w:szCs w:val="21"/>
        </w:rPr>
        <w:t xml:space="preserve"> (Modello A) impedisce la decadenza: il licenziamento «deve essere impugnato a pena di decadenza entro sessanta giorni dalla ricezione della sua comunicazione in forma scritta, ovvero dalla comunicazione, anch'essa in forma scritta, dei motivi, ove non contestuale, con qualsiasi atto scritto, anche extragiudiziale, idoneo a rendere nota la volontà del lavoratore» (art. 6, primo comma, l. 604/1966). Il regime si applica «a tutti i casi di invalidità del licenziamento» (art. 32, comma 2, l. 183/2010): anche al licenziamento nullo o discriminatorio.</w:t>
      </w:r>
    </w:p>
    <w:p>
      <w:pPr>
        <w:pStyle w:val="Corpo"/>
        <w:keepNext w:val="false"/>
        <w:spacing w:after="100" w:line="264"/>
        <w:jc w:val="left"/>
      </w:pPr>
      <w:r>
        <w:rPr>
          <w:rFonts w:ascii="Calibri" w:cs="Calibri" w:eastAsia="Calibri" w:hAnsi="Calibri"/>
          <w:b/>
          <w:bCs/>
          <w:sz w:val="21"/>
          <w:szCs w:val="21"/>
        </w:rPr>
        <w:t xml:space="preserve">Il ricorso</w:t>
      </w:r>
      <w:r>
        <w:rPr>
          <w:rFonts w:ascii="Calibri" w:cs="Calibri" w:eastAsia="Calibri" w:hAnsi="Calibri"/>
          <w:sz w:val="21"/>
          <w:szCs w:val="21"/>
        </w:rPr>
        <w:t xml:space="preserve"> (Modello B) è il secondo passo, da compiere entro 180 giorni. In alternativa al ricorso, entro lo stesso termine, si può comunicare al datore la </w:t>
      </w:r>
      <w:r>
        <w:rPr>
          <w:rFonts w:ascii="Calibri" w:cs="Calibri" w:eastAsia="Calibri" w:hAnsi="Calibri"/>
          <w:b/>
          <w:bCs/>
          <w:sz w:val="21"/>
          <w:szCs w:val="21"/>
        </w:rPr>
        <w:t xml:space="preserve">richiesta di tentativo di conciliazione o di arbitrato</w:t>
      </w:r>
      <w:r>
        <w:rPr>
          <w:rFonts w:ascii="Calibri" w:cs="Calibri" w:eastAsia="Calibri" w:hAnsi="Calibri"/>
          <w:sz w:val="21"/>
          <w:szCs w:val="21"/>
        </w:rPr>
        <w:t xml:space="preserve"> (art. 6, secondo comma) (Modello C) o depositare un </w:t>
      </w:r>
      <w:r>
        <w:rPr>
          <w:rFonts w:ascii="Calibri" w:cs="Calibri" w:eastAsia="Calibri" w:hAnsi="Calibri"/>
          <w:b/>
          <w:bCs/>
          <w:sz w:val="21"/>
          <w:szCs w:val="21"/>
        </w:rPr>
        <w:t xml:space="preserve">ricorso cautelare ante causam</w:t>
      </w:r>
      <w:r>
        <w:rPr>
          <w:rFonts w:ascii="Calibri" w:cs="Calibri" w:eastAsia="Calibri" w:hAnsi="Calibri"/>
          <w:sz w:val="21"/>
          <w:szCs w:val="21"/>
        </w:rPr>
        <w:t xml:space="preserve"> ex artt. 669-bis, 669-ter e 700 c.p.c. (Corte cost. n. 212/2020, v. § 2).</w:t>
      </w:r>
    </w:p>
    <w:p>
      <w:pPr>
        <w:pStyle w:val="Corpo"/>
        <w:keepNext/>
        <w:spacing w:after="100" w:before="100" w:line="264"/>
        <w:jc w:val="left"/>
      </w:pPr>
      <w:r>
        <w:rPr>
          <w:rFonts w:ascii="Calibri" w:cs="Calibri" w:eastAsia="Calibri" w:hAnsi="Calibri"/>
          <w:b/>
          <w:bCs/>
          <w:sz w:val="21"/>
          <w:szCs w:val="21"/>
        </w:rPr>
        <w:t xml:space="preserve">Quando NON si usa (gli errori di strumento più comuni).</w:t>
      </w:r>
    </w:p>
    <w:p>
      <w:pPr>
        <w:pStyle w:val="Corpo"/>
        <w:spacing w:after="70" w:line="264"/>
        <w:ind w:left="425" w:hanging="425"/>
        <w:jc w:val="left"/>
      </w:pPr>
      <w:r>
        <w:rPr>
          <w:rFonts w:ascii="Calibri" w:cs="Calibri" w:eastAsia="Calibri" w:hAnsi="Calibri"/>
          <w:b/>
          <w:bCs/>
          <w:color w:val="2F5546"/>
          <w:sz w:val="21"/>
          <w:szCs w:val="21"/>
        </w:rPr>
        <w:t xml:space="preserve">1.</w:t>
      </w:r>
      <w:r>
        <w:rPr>
          <w:rFonts w:ascii="Calibri" w:cs="Calibri" w:eastAsia="Calibri" w:hAnsi="Calibri"/>
          <w:sz w:val="21"/>
          <w:szCs w:val="21"/>
        </w:rPr>
        <w:tab/>
      </w:r>
      <w:r>
        <w:rPr>
          <w:rFonts w:ascii="Calibri" w:cs="Calibri" w:eastAsia="Calibri" w:hAnsi="Calibri"/>
          <w:b/>
          <w:bCs/>
          <w:sz w:val="21"/>
          <w:szCs w:val="21"/>
        </w:rPr>
        <w:t xml:space="preserve">Rito Fornero.</w:t>
      </w:r>
      <w:r>
        <w:rPr>
          <w:rFonts w:ascii="Calibri" w:cs="Calibri" w:eastAsia="Calibri" w:hAnsi="Calibri"/>
          <w:sz w:val="21"/>
          <w:szCs w:val="21"/>
        </w:rPr>
        <w:t xml:space="preserve"> Il procedimento speciale dell'art. 1, commi 47-69, l. 92/2012 è </w:t>
      </w:r>
      <w:r>
        <w:rPr>
          <w:rFonts w:ascii="Calibri" w:cs="Calibri" w:eastAsia="Calibri" w:hAnsi="Calibri"/>
          <w:b/>
          <w:bCs/>
          <w:sz w:val="21"/>
          <w:szCs w:val="21"/>
        </w:rPr>
        <w:t xml:space="preserve">abrogato</w:t>
      </w:r>
      <w:r>
        <w:rPr>
          <w:rFonts w:ascii="Calibri" w:cs="Calibri" w:eastAsia="Calibri" w:hAnsi="Calibri"/>
          <w:sz w:val="21"/>
          <w:szCs w:val="21"/>
        </w:rPr>
        <w:t xml:space="preserve"> (art. 37, comma 1, lett. e), d.lgs. 149/2022) per i procedimenti instaurati dopo il 28 febbraio 2023 (art. 35, comma 1). Oggi si usa il rito del lavoro ordinario (artt. 409 ss. c.p.c.) con le regole speciali dell'</w:t>
      </w:r>
      <w:r>
        <w:rPr>
          <w:rFonts w:ascii="Calibri" w:cs="Calibri" w:eastAsia="Calibri" w:hAnsi="Calibri"/>
          <w:b/>
          <w:bCs/>
          <w:sz w:val="21"/>
          <w:szCs w:val="21"/>
        </w:rPr>
        <w:t xml:space="preserve">art. 441-bis c.p.c.</w:t>
      </w:r>
      <w:r>
        <w:rPr>
          <w:rFonts w:ascii="Calibri" w:cs="Calibri" w:eastAsia="Calibri" w:hAnsi="Calibri"/>
          <w:sz w:val="21"/>
          <w:szCs w:val="21"/>
        </w:rPr>
        <w:t xml:space="preserve"> (trattazione prioritaria delle cause con domanda di reintegrazione).</w:t>
      </w:r>
    </w:p>
    <w:p>
      <w:pPr>
        <w:pStyle w:val="Corpo"/>
        <w:spacing w:after="70" w:line="264"/>
        <w:ind w:left="425" w:hanging="425"/>
        <w:jc w:val="left"/>
      </w:pPr>
      <w:r>
        <w:rPr>
          <w:rFonts w:ascii="Calibri" w:cs="Calibri" w:eastAsia="Calibri" w:hAnsi="Calibri"/>
          <w:b/>
          <w:bCs/>
          <w:color w:val="2F5546"/>
          <w:sz w:val="21"/>
          <w:szCs w:val="21"/>
        </w:rPr>
        <w:t xml:space="preserve">2.</w:t>
      </w:r>
      <w:r>
        <w:rPr>
          <w:rFonts w:ascii="Calibri" w:cs="Calibri" w:eastAsia="Calibri" w:hAnsi="Calibri"/>
          <w:sz w:val="21"/>
          <w:szCs w:val="21"/>
        </w:rPr>
        <w:tab/>
      </w:r>
      <w:r>
        <w:rPr>
          <w:rFonts w:ascii="Calibri" w:cs="Calibri" w:eastAsia="Calibri" w:hAnsi="Calibri"/>
          <w:b/>
          <w:bCs/>
          <w:sz w:val="21"/>
          <w:szCs w:val="21"/>
        </w:rPr>
        <w:t xml:space="preserve">Contratto a termine.</w:t>
      </w:r>
      <w:r>
        <w:rPr>
          <w:rFonts w:ascii="Calibri" w:cs="Calibri" w:eastAsia="Calibri" w:hAnsi="Calibri"/>
          <w:sz w:val="21"/>
          <w:szCs w:val="21"/>
        </w:rPr>
        <w:t xml:space="preserve"> Non si impugna un «licenziamento», ma il contratto: il termine è di </w:t>
      </w:r>
      <w:r>
        <w:rPr>
          <w:rFonts w:ascii="Calibri" w:cs="Calibri" w:eastAsia="Calibri" w:hAnsi="Calibri"/>
          <w:b/>
          <w:bCs/>
          <w:sz w:val="21"/>
          <w:szCs w:val="21"/>
        </w:rPr>
        <w:t xml:space="preserve">180 giorni dalla cessazione</w:t>
      </w:r>
      <w:r>
        <w:rPr>
          <w:rFonts w:ascii="Calibri" w:cs="Calibri" w:eastAsia="Calibri" w:hAnsi="Calibri"/>
          <w:sz w:val="21"/>
          <w:szCs w:val="21"/>
        </w:rPr>
        <w:t xml:space="preserve"> del singolo contratto, con le modalità del primo comma dell'art. 6 (art. 28, comma 1, d.lgs. 81/2015).</w:t>
      </w:r>
    </w:p>
    <w:p>
      <w:pPr>
        <w:pStyle w:val="Corpo"/>
        <w:spacing w:after="70" w:line="264"/>
        <w:ind w:left="425" w:hanging="425"/>
        <w:jc w:val="left"/>
      </w:pPr>
      <w:r>
        <w:rPr>
          <w:rFonts w:ascii="Calibri" w:cs="Calibri" w:eastAsia="Calibri" w:hAnsi="Calibri"/>
          <w:b/>
          <w:bCs/>
          <w:color w:val="2F5546"/>
          <w:sz w:val="21"/>
          <w:szCs w:val="21"/>
        </w:rPr>
        <w:t xml:space="preserve">3.</w:t>
      </w:r>
      <w:r>
        <w:rPr>
          <w:rFonts w:ascii="Calibri" w:cs="Calibri" w:eastAsia="Calibri" w:hAnsi="Calibri"/>
          <w:sz w:val="21"/>
          <w:szCs w:val="21"/>
        </w:rPr>
        <w:tab/>
      </w:r>
      <w:r>
        <w:rPr>
          <w:rFonts w:ascii="Calibri" w:cs="Calibri" w:eastAsia="Calibri" w:hAnsi="Calibri"/>
          <w:b/>
          <w:bCs/>
          <w:sz w:val="21"/>
          <w:szCs w:val="21"/>
        </w:rPr>
        <w:t xml:space="preserve">Dimissioni o risoluzione consensuale contestate</w:t>
      </w:r>
      <w:r>
        <w:rPr>
          <w:rFonts w:ascii="Calibri" w:cs="Calibri" w:eastAsia="Calibri" w:hAnsi="Calibri"/>
          <w:sz w:val="21"/>
          <w:szCs w:val="21"/>
        </w:rPr>
        <w:t xml:space="preserve">, </w:t>
      </w:r>
      <w:r>
        <w:rPr>
          <w:rFonts w:ascii="Calibri" w:cs="Calibri" w:eastAsia="Calibri" w:hAnsi="Calibri"/>
          <w:b/>
          <w:bCs/>
          <w:sz w:val="21"/>
          <w:szCs w:val="21"/>
        </w:rPr>
        <w:t xml:space="preserve">trasferimento</w:t>
      </w:r>
      <w:r>
        <w:rPr>
          <w:rFonts w:ascii="Calibri" w:cs="Calibri" w:eastAsia="Calibri" w:hAnsi="Calibri"/>
          <w:sz w:val="21"/>
          <w:szCs w:val="21"/>
        </w:rPr>
        <w:t xml:space="preserve"> (art. 32, comma 3, lett. c), l. 183/2010: termine dalla ricezione della comunicazione di trasferimento), </w:t>
      </w:r>
      <w:r>
        <w:rPr>
          <w:rFonts w:ascii="Calibri" w:cs="Calibri" w:eastAsia="Calibri" w:hAnsi="Calibri"/>
          <w:b/>
          <w:bCs/>
          <w:sz w:val="21"/>
          <w:szCs w:val="21"/>
        </w:rPr>
        <w:t xml:space="preserve">cessione del contratto</w:t>
      </w:r>
      <w:r>
        <w:rPr>
          <w:rFonts w:ascii="Calibri" w:cs="Calibri" w:eastAsia="Calibri" w:hAnsi="Calibri"/>
          <w:sz w:val="21"/>
          <w:szCs w:val="21"/>
        </w:rPr>
        <w:t xml:space="preserve"> ex art. 2112 c.c. (comma 4, lett. c), dalla data del trasferimento): sono fattispecie con regole proprie, non trattate da questo modello.</w:t>
      </w:r>
    </w:p>
    <w:p>
      <w:pPr>
        <w:pStyle w:val="Corpo"/>
        <w:spacing w:after="70" w:line="264"/>
        <w:ind w:left="425" w:hanging="425"/>
        <w:jc w:val="left"/>
      </w:pPr>
      <w:r>
        <w:rPr>
          <w:rFonts w:ascii="Calibri" w:cs="Calibri" w:eastAsia="Calibri" w:hAnsi="Calibri"/>
          <w:b/>
          <w:bCs/>
          <w:color w:val="2F5546"/>
          <w:sz w:val="21"/>
          <w:szCs w:val="21"/>
        </w:rPr>
        <w:t xml:space="preserve">4.</w:t>
      </w:r>
      <w:r>
        <w:rPr>
          <w:rFonts w:ascii="Calibri" w:cs="Calibri" w:eastAsia="Calibri" w:hAnsi="Calibri"/>
          <w:sz w:val="21"/>
          <w:szCs w:val="21"/>
        </w:rPr>
        <w:tab/>
      </w:r>
      <w:r>
        <w:rPr>
          <w:rFonts w:ascii="Calibri" w:cs="Calibri" w:eastAsia="Calibri" w:hAnsi="Calibri"/>
          <w:b/>
          <w:bCs/>
          <w:sz w:val="21"/>
          <w:szCs w:val="21"/>
        </w:rPr>
        <w:t xml:space="preserve">Licenziamento orale.</w:t>
      </w:r>
      <w:r>
        <w:rPr>
          <w:rFonts w:ascii="Calibri" w:cs="Calibri" w:eastAsia="Calibri" w:hAnsi="Calibri"/>
          <w:sz w:val="21"/>
          <w:szCs w:val="21"/>
        </w:rPr>
        <w:t xml:space="preserve"> I 60 giorni decorrono «dalla ricezione della sua comunicazione in forma scritta»: per il licenziamento orale questo momento non esiste e la legge non dice da quando si contano. Strada prudente: impugnare comunque per iscritto entro 60 giorni dal giorno in cui il lavoratore è stato allontanato, poi ricorso entro i 180 giorni (il licenziamento orale ha il regime della nullità: art. 2, comma 1, d.lgs. 23/2015; art. 18, primo comma).</w:t>
      </w:r>
    </w:p>
    <w:p>
      <w:pPr>
        <w:pStyle w:val="Corpo"/>
        <w:spacing w:after="70" w:line="264"/>
        <w:ind w:left="425" w:hanging="425"/>
        <w:jc w:val="left"/>
      </w:pPr>
      <w:r>
        <w:rPr>
          <w:rFonts w:ascii="Calibri" w:cs="Calibri" w:eastAsia="Calibri" w:hAnsi="Calibri"/>
          <w:b/>
          <w:bCs/>
          <w:color w:val="2F5546"/>
          <w:sz w:val="21"/>
          <w:szCs w:val="21"/>
        </w:rPr>
        <w:t xml:space="preserve">5.</w:t>
      </w:r>
      <w:r>
        <w:rPr>
          <w:rFonts w:ascii="Calibri" w:cs="Calibri" w:eastAsia="Calibri" w:hAnsi="Calibri"/>
          <w:sz w:val="21"/>
          <w:szCs w:val="21"/>
        </w:rPr>
        <w:tab/>
      </w:r>
      <w:r>
        <w:rPr>
          <w:rFonts w:ascii="Calibri" w:cs="Calibri" w:eastAsia="Calibri" w:hAnsi="Calibri"/>
          <w:b/>
          <w:bCs/>
          <w:sz w:val="21"/>
          <w:szCs w:val="21"/>
        </w:rPr>
        <w:t xml:space="preserve">Il lavoratore è incapace di intendere o di volere</w:t>
      </w:r>
      <w:r>
        <w:rPr>
          <w:rFonts w:ascii="Calibri" w:cs="Calibri" w:eastAsia="Calibri" w:hAnsi="Calibri"/>
          <w:sz w:val="21"/>
          <w:szCs w:val="21"/>
        </w:rPr>
        <w:t xml:space="preserve"> alla ricezione o durante i 60 giorni: non serve la lettera; il licenziamento può essere impugnato </w:t>
      </w:r>
      <w:r>
        <w:rPr>
          <w:rFonts w:ascii="Calibri" w:cs="Calibri" w:eastAsia="Calibri" w:hAnsi="Calibri"/>
          <w:b/>
          <w:bCs/>
          <w:sz w:val="21"/>
          <w:szCs w:val="21"/>
        </w:rPr>
        <w:t xml:space="preserve">direttamente con ricorso, anche cautelare, o con la richiesta di conciliazione o arbitrato</w:t>
      </w:r>
      <w:r>
        <w:rPr>
          <w:rFonts w:ascii="Calibri" w:cs="Calibri" w:eastAsia="Calibri" w:hAnsi="Calibri"/>
          <w:sz w:val="21"/>
          <w:szCs w:val="21"/>
        </w:rPr>
        <w:t xml:space="preserve"> entro </w:t>
      </w:r>
      <w:r>
        <w:rPr>
          <w:rFonts w:ascii="Calibri" w:cs="Calibri" w:eastAsia="Calibri" w:hAnsi="Calibri"/>
          <w:b/>
          <w:bCs/>
          <w:sz w:val="21"/>
          <w:szCs w:val="21"/>
        </w:rPr>
        <w:t xml:space="preserve">240 giorni dalla ricezione</w:t>
      </w:r>
      <w:r>
        <w:rPr>
          <w:rFonts w:ascii="Calibri" w:cs="Calibri" w:eastAsia="Calibri" w:hAnsi="Calibri"/>
          <w:sz w:val="21"/>
          <w:szCs w:val="21"/>
        </w:rPr>
        <w:t xml:space="preserve"> (Corte cost. n. 111/2025).</w:t>
      </w:r>
    </w:p>
    <w:p>
      <w:pPr>
        <w:pStyle w:val="Corpo"/>
        <w:spacing w:after="70" w:line="264"/>
        <w:ind w:left="425" w:hanging="425"/>
        <w:jc w:val="left"/>
      </w:pPr>
      <w:r>
        <w:rPr>
          <w:rFonts w:ascii="Calibri" w:cs="Calibri" w:eastAsia="Calibri" w:hAnsi="Calibri"/>
          <w:b/>
          <w:bCs/>
          <w:color w:val="2F5546"/>
          <w:sz w:val="21"/>
          <w:szCs w:val="21"/>
        </w:rPr>
        <w:t xml:space="preserve">6.</w:t>
      </w:r>
      <w:r>
        <w:rPr>
          <w:rFonts w:ascii="Calibri" w:cs="Calibri" w:eastAsia="Calibri" w:hAnsi="Calibri"/>
          <w:sz w:val="21"/>
          <w:szCs w:val="21"/>
        </w:rPr>
        <w:tab/>
      </w:r>
      <w:r>
        <w:rPr>
          <w:rFonts w:ascii="Calibri" w:cs="Calibri" w:eastAsia="Calibri" w:hAnsi="Calibri"/>
          <w:b/>
          <w:bCs/>
          <w:sz w:val="21"/>
          <w:szCs w:val="21"/>
        </w:rPr>
        <w:t xml:space="preserve">Dirigenti.</w:t>
      </w:r>
      <w:r>
        <w:rPr>
          <w:rFonts w:ascii="Calibri" w:cs="Calibri" w:eastAsia="Calibri" w:hAnsi="Calibri"/>
          <w:sz w:val="21"/>
          <w:szCs w:val="21"/>
        </w:rPr>
        <w:t xml:space="preserve"> Il d.lgs. 23/2015 riguarda operai, impiegati e quadri (art. 1, comma 1); l'art. 18 si applica ai dirigenti per i licenziamenti nulli (art. 18, primo comma, secondo periodo). Il resto della tutela del dirigente dipende dal contratto collettivo: modello da adattare.</w:t>
      </w:r>
    </w:p>
    <w:p>
      <w:pPr>
        <w:pStyle w:val="Corpo"/>
        <w:spacing w:after="70" w:line="264"/>
        <w:ind w:left="425" w:hanging="425"/>
        <w:jc w:val="left"/>
      </w:pPr>
      <w:r>
        <w:rPr>
          <w:rFonts w:ascii="Calibri" w:cs="Calibri" w:eastAsia="Calibri" w:hAnsi="Calibri"/>
          <w:b/>
          <w:bCs/>
          <w:color w:val="2F5546"/>
          <w:sz w:val="21"/>
          <w:szCs w:val="21"/>
        </w:rPr>
        <w:t xml:space="preserve">7.</w:t>
      </w:r>
      <w:r>
        <w:rPr>
          <w:rFonts w:ascii="Calibri" w:cs="Calibri" w:eastAsia="Calibri" w:hAnsi="Calibri"/>
          <w:sz w:val="21"/>
          <w:szCs w:val="21"/>
        </w:rPr>
        <w:tab/>
      </w:r>
      <w:r>
        <w:rPr>
          <w:rFonts w:ascii="Calibri" w:cs="Calibri" w:eastAsia="Calibri" w:hAnsi="Calibri"/>
          <w:b/>
          <w:bCs/>
          <w:sz w:val="21"/>
          <w:szCs w:val="21"/>
        </w:rPr>
        <w:t xml:space="preserve">Lavoratori pubblici</w:t>
      </w:r>
      <w:r>
        <w:rPr>
          <w:rFonts w:ascii="Calibri" w:cs="Calibri" w:eastAsia="Calibri" w:hAnsi="Calibri"/>
          <w:sz w:val="21"/>
          <w:szCs w:val="21"/>
        </w:rPr>
        <w:t xml:space="preserve"> contrattualizzati: regole diverse (il d.l. 87/2018 non si applica ai contratti delle pubbliche amministrazioni: nota all'art. 3 d.lgs. 23/2015 su Normattiva). Non trattati qui.</w:t>
      </w:r>
    </w:p>
    <w:p>
      <w:pPr>
        <w:pStyle w:val="Heading2"/>
      </w:pPr>
      <w:r>
        <w:rPr>
          <w:rFonts w:ascii="Georgia" w:cs="Georgia" w:eastAsia="Georgia" w:hAnsi="Georgia"/>
          <w:b/>
          <w:bCs/>
        </w:rPr>
        <w:t xml:space="preserve">2. Riferimenti normativi e pronunce (testo vigente verificato il 18/10/2026)</w:t>
      </w:r>
    </w:p>
    <w:p>
      <w:pPr>
        <w:pStyle w:val="Heading3"/>
      </w:pPr>
      <w:r>
        <w:rPr>
          <w:rFonts w:ascii="Calibri" w:cs="Calibri" w:eastAsia="Calibri" w:hAnsi="Calibri"/>
          <w:b/>
          <w:bCs/>
        </w:rPr>
        <w:t xml:space="preserve">Norme</w:t>
      </w:r>
    </w:p>
    <w:tbl>
      <w:tblPr>
        <w:tblW w:type="dxa" w:w="9638"/>
        <w:tblBorders>
          <w:top w:val="single" w:color="D9DAD2" w:sz="4"/>
          <w:left w:val="none" w:color="FFFFFF" w:sz="0"/>
          <w:bottom w:val="single" w:color="D9DAD2" w:sz="4"/>
          <w:right w:val="none" w:color="FFFFFF" w:sz="0"/>
          <w:insideH w:val="single" w:color="D9DAD2" w:sz="4"/>
          <w:insideV w:val="none" w:color="FFFFFF" w:sz="0"/>
        </w:tblBorders>
        <w:tblLayout w:type="fixed"/>
      </w:tblPr>
      <w:tblGrid>
        <w:gridCol w:w="3100"/>
        <w:gridCol w:w="3269"/>
        <w:gridCol w:w="3269"/>
      </w:tblGrid>
      <w:tr>
        <w:trPr>
          <w:cantSplit/>
          <w:tblHeader/>
        </w:trPr>
        <w:tc>
          <w:tcPr>
            <w:tcW w:type="dxa" w:w="3100"/>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Norma</w:t>
            </w:r>
          </w:p>
        </w:tc>
        <w:tc>
          <w:tcPr>
            <w:tcW w:type="dxa" w:w="3269"/>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Contenuto</w:t>
            </w:r>
          </w:p>
        </w:tc>
        <w:tc>
          <w:tcPr>
            <w:tcW w:type="dxa" w:w="3269"/>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Vigenza verificata</w:t>
            </w:r>
          </w:p>
        </w:tc>
      </w:tr>
      <w:tr>
        <w:trPr>
          <w:cantSplit/>
        </w:trPr>
        <w:tc>
          <w:tcPr>
            <w:tcW w:type="dxa" w:w="31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L. 604/1966, art. 1</w:t>
            </w:r>
          </w:p>
        </w:tc>
        <w:tc>
          <w:tcPr>
            <w:tcW w:type="dxa" w:w="326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licenziamento solo per giusta causa (art. 2119 c.c.) o giustificato motivo</w:t>
            </w:r>
          </w:p>
        </w:tc>
        <w:tc>
          <w:tcPr>
            <w:tcW w:type="dxa" w:w="326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vigente</w:t>
            </w:r>
          </w:p>
        </w:tc>
      </w:tr>
      <w:tr>
        <w:trPr>
          <w:cantSplit/>
        </w:trPr>
        <w:tc>
          <w:tcPr>
            <w:tcW w:type="dxa" w:w="310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L. 604/1966, art. 2</w:t>
            </w:r>
          </w:p>
        </w:tc>
        <w:tc>
          <w:tcPr>
            <w:tcW w:type="dxa" w:w="326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comunicazione scritta (comma 1) con «la specificazione dei motivi» (comma 2); senza, il licenziamento è inefficace (comma 3); comma 1 anche per i dirigenti (comma 4)</w:t>
            </w:r>
          </w:p>
        </w:tc>
        <w:tc>
          <w:tcPr>
            <w:tcW w:type="dxa" w:w="326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vigente, testo dal 18/7/2012</w:t>
            </w:r>
          </w:p>
        </w:tc>
      </w:tr>
      <w:tr>
        <w:trPr>
          <w:cantSplit/>
        </w:trPr>
        <w:tc>
          <w:tcPr>
            <w:tcW w:type="dxa" w:w="31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L. 604/1966, art. 3</w:t>
            </w:r>
          </w:p>
        </w:tc>
        <w:tc>
          <w:tcPr>
            <w:tcW w:type="dxa" w:w="326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nozione di giustificato motivo soggettivo e oggettivo</w:t>
            </w:r>
          </w:p>
        </w:tc>
        <w:tc>
          <w:tcPr>
            <w:tcW w:type="dxa" w:w="326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vigente, testo dal 22/10/2021</w:t>
            </w:r>
          </w:p>
        </w:tc>
      </w:tr>
      <w:tr>
        <w:trPr>
          <w:cantSplit/>
        </w:trPr>
        <w:tc>
          <w:tcPr>
            <w:tcW w:type="dxa" w:w="310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L. 604/1966, art. 5</w:t>
            </w:r>
          </w:p>
        </w:tc>
        <w:tc>
          <w:tcPr>
            <w:tcW w:type="dxa" w:w="326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onere della prova della giusta causa o del giustificato motivo a carico del datore</w:t>
            </w:r>
          </w:p>
        </w:tc>
        <w:tc>
          <w:tcPr>
            <w:tcW w:type="dxa" w:w="326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vigente</w:t>
            </w:r>
          </w:p>
        </w:tc>
      </w:tr>
      <w:tr>
        <w:trPr>
          <w:cantSplit/>
        </w:trPr>
        <w:tc>
          <w:tcPr>
            <w:tcW w:type="dxa" w:w="31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bCs/>
                <w:sz w:val="18"/>
                <w:szCs w:val="18"/>
              </w:rPr>
              <w:t xml:space="preserve">L. 604/1966, art. 6</w:t>
            </w:r>
          </w:p>
        </w:tc>
        <w:tc>
          <w:tcPr>
            <w:tcW w:type="dxa" w:w="326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60 giorni per l'impugnazione; 180 giorni per ricorso o richiesta di conciliazione/arbitrato; 60 giorni dal rifiuto o mancato accordo</w:t>
            </w:r>
          </w:p>
        </w:tc>
        <w:tc>
          <w:tcPr>
            <w:tcW w:type="dxa" w:w="326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vigente, testo </w:t>
            </w:r>
            <w:r>
              <w:rPr>
                <w:rFonts w:ascii="Calibri" w:cs="Calibri" w:eastAsia="Calibri" w:hAnsi="Calibri"/>
                <w:b/>
                <w:bCs/>
                <w:sz w:val="18"/>
                <w:szCs w:val="18"/>
              </w:rPr>
              <w:t xml:space="preserve">dal 24/7/2025</w:t>
            </w:r>
            <w:r>
              <w:rPr>
                <w:rFonts w:ascii="Calibri" w:cs="Calibri" w:eastAsia="Calibri" w:hAnsi="Calibri"/>
                <w:b w:val="false"/>
                <w:bCs w:val="false"/>
                <w:sz w:val="18"/>
                <w:szCs w:val="18"/>
              </w:rPr>
              <w:t xml:space="preserve"> (con le sentenze n. 212/2020 e n. 111/2025)</w:t>
            </w:r>
          </w:p>
        </w:tc>
      </w:tr>
      <w:tr>
        <w:trPr>
          <w:cantSplit/>
        </w:trPr>
        <w:tc>
          <w:tcPr>
            <w:tcW w:type="dxa" w:w="310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L. 604/1966, art. 7</w:t>
            </w:r>
          </w:p>
        </w:tc>
        <w:tc>
          <w:tcPr>
            <w:tcW w:type="dxa" w:w="326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procedura preventiva per il licenziamento per GMO dei datori sopra soglia (assunti ante 7/3/2015)</w:t>
            </w:r>
          </w:p>
        </w:tc>
        <w:tc>
          <w:tcPr>
            <w:tcW w:type="dxa" w:w="326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vigente, testo dal 22/10/2021</w:t>
            </w:r>
          </w:p>
        </w:tc>
      </w:tr>
      <w:tr>
        <w:trPr>
          <w:cantSplit/>
        </w:trPr>
        <w:tc>
          <w:tcPr>
            <w:tcW w:type="dxa" w:w="31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L. 604/1966, art. 8</w:t>
            </w:r>
          </w:p>
        </w:tc>
        <w:tc>
          <w:tcPr>
            <w:tcW w:type="dxa" w:w="326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tutela obbligatoria: riassunzione entro tre giorni o indennità da 2,5 a 6 mensilità (fino a 10 o 14 per anzianità oltre 10 o 20 anni, se il datore occupa più di 15 dipendenti)</w:t>
            </w:r>
          </w:p>
        </w:tc>
        <w:tc>
          <w:tcPr>
            <w:tcW w:type="dxa" w:w="326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vigente, testo dal 26/5/1990</w:t>
            </w:r>
          </w:p>
        </w:tc>
      </w:tr>
      <w:tr>
        <w:trPr>
          <w:cantSplit/>
        </w:trPr>
        <w:tc>
          <w:tcPr>
            <w:tcW w:type="dxa" w:w="310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L. 108/1990, artt. 2 e 3</w:t>
            </w:r>
          </w:p>
        </w:tc>
        <w:tc>
          <w:tcPr>
            <w:tcW w:type="dxa" w:w="326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campo della tutela obbligatoria; nullità del licenziamento discriminatorio a prescindere dal numero dei dipendenti</w:t>
            </w:r>
          </w:p>
        </w:tc>
        <w:tc>
          <w:tcPr>
            <w:tcW w:type="dxa" w:w="326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vigenti</w:t>
            </w:r>
          </w:p>
        </w:tc>
      </w:tr>
      <w:tr>
        <w:trPr>
          <w:cantSplit/>
        </w:trPr>
        <w:tc>
          <w:tcPr>
            <w:tcW w:type="dxa" w:w="31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L. 183/2010, art. 32, commi 2-4</w:t>
            </w:r>
          </w:p>
        </w:tc>
        <w:tc>
          <w:tcPr>
            <w:tcW w:type="dxa" w:w="326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art. 6 per tutti i casi di invalidità e per le altre fattispecie (qualificazione del rapporto, co.co.co., trasferimento, cessione ex 2112, rapporto in capo a terzi)</w:t>
            </w:r>
          </w:p>
        </w:tc>
        <w:tc>
          <w:tcPr>
            <w:tcW w:type="dxa" w:w="326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vigente, testo dal 25/6/2015</w:t>
            </w:r>
          </w:p>
        </w:tc>
      </w:tr>
      <w:tr>
        <w:trPr>
          <w:cantSplit/>
        </w:trPr>
        <w:tc>
          <w:tcPr>
            <w:tcW w:type="dxa" w:w="310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bCs/>
                <w:sz w:val="18"/>
                <w:szCs w:val="18"/>
              </w:rPr>
              <w:t xml:space="preserve">L. 300/1970, art. 18</w:t>
            </w:r>
          </w:p>
        </w:tc>
        <w:tc>
          <w:tcPr>
            <w:tcW w:type="dxa" w:w="326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tutele per gli assunti prima del 7/3/2015 presso datori sopra soglia (commi 4-7 e 8) e per tutti in caso di nullità (commi 1-3)</w:t>
            </w:r>
          </w:p>
        </w:tc>
        <w:tc>
          <w:tcPr>
            <w:tcW w:type="dxa" w:w="326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vigente, testo dal 26/5/2022 (con le sentenze n. 59/2021 e n. 125/2022)</w:t>
            </w:r>
          </w:p>
        </w:tc>
      </w:tr>
      <w:tr>
        <w:trPr>
          <w:cantSplit/>
        </w:trPr>
        <w:tc>
          <w:tcPr>
            <w:tcW w:type="dxa" w:w="31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L. 300/1970, artt. 7 e 15</w:t>
            </w:r>
          </w:p>
        </w:tc>
        <w:tc>
          <w:tcPr>
            <w:tcW w:type="dxa" w:w="326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procedimento disciplinare; atti discriminatori</w:t>
            </w:r>
          </w:p>
        </w:tc>
        <w:tc>
          <w:tcPr>
            <w:tcW w:type="dxa" w:w="326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vigenti</w:t>
            </w:r>
          </w:p>
        </w:tc>
      </w:tr>
      <w:tr>
        <w:trPr>
          <w:cantSplit/>
        </w:trPr>
        <w:tc>
          <w:tcPr>
            <w:tcW w:type="dxa" w:w="310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bCs/>
                <w:sz w:val="18"/>
                <w:szCs w:val="18"/>
              </w:rPr>
              <w:t xml:space="preserve">D.lgs. 23/2015, artt. 1-6, 9, 10</w:t>
            </w:r>
          </w:p>
        </w:tc>
        <w:tc>
          <w:tcPr>
            <w:tcW w:type="dxa" w:w="326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contratto a tutele crescenti (assunti dal 7 marzo 2015)</w:t>
            </w:r>
          </w:p>
        </w:tc>
        <w:tc>
          <w:tcPr>
            <w:tcW w:type="dxa" w:w="326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vigenti (art. 2 dal 29/2/2024; art. 3 dal 18/7/2024; art. 4 dal 23/7/2020; art. 9 dal 24/7/2025)</w:t>
            </w:r>
          </w:p>
        </w:tc>
      </w:tr>
      <w:tr>
        <w:trPr>
          <w:cantSplit/>
        </w:trPr>
        <w:tc>
          <w:tcPr>
            <w:tcW w:type="dxa" w:w="31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D.l. 87/2018, art. 3</w:t>
            </w:r>
          </w:p>
        </w:tc>
        <w:tc>
          <w:tcPr>
            <w:tcW w:type="dxa" w:w="326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indennità dell'art. 3, comma 1, d.lgs. 23/2015 elevata a 6-36 mensilità; offerta di conciliazione 3-27</w:t>
            </w:r>
          </w:p>
        </w:tc>
        <w:tc>
          <w:tcPr>
            <w:tcW w:type="dxa" w:w="326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vigente</w:t>
            </w:r>
          </w:p>
        </w:tc>
      </w:tr>
      <w:tr>
        <w:trPr>
          <w:cantSplit/>
        </w:trPr>
        <w:tc>
          <w:tcPr>
            <w:tcW w:type="dxa" w:w="310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D.lgs. 151/2001, art. 54; d.lgs. 198/2006, art. 35</w:t>
            </w:r>
          </w:p>
        </w:tc>
        <w:tc>
          <w:tcPr>
            <w:tcW w:type="dxa" w:w="326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divieti di licenziamento (maternità e paternità; matrimonio) e nullità</w:t>
            </w:r>
          </w:p>
        </w:tc>
        <w:tc>
          <w:tcPr>
            <w:tcW w:type="dxa" w:w="326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vigenti</w:t>
            </w:r>
          </w:p>
        </w:tc>
      </w:tr>
      <w:tr>
        <w:trPr>
          <w:cantSplit/>
        </w:trPr>
        <w:tc>
          <w:tcPr>
            <w:tcW w:type="dxa" w:w="31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D.lgs. 81/2015, art. 28</w:t>
            </w:r>
          </w:p>
        </w:tc>
        <w:tc>
          <w:tcPr>
            <w:tcW w:type="dxa" w:w="326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impugnazione del contratto a termine: 180 giorni dalla cessazione</w:t>
            </w:r>
          </w:p>
        </w:tc>
        <w:tc>
          <w:tcPr>
            <w:tcW w:type="dxa" w:w="326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vigente, testo dal 17/9/2024</w:t>
            </w:r>
          </w:p>
        </w:tc>
      </w:tr>
      <w:tr>
        <w:trPr>
          <w:cantSplit/>
        </w:trPr>
        <w:tc>
          <w:tcPr>
            <w:tcW w:type="dxa" w:w="310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C.p.c., artt. 409, 410, 412-ter, 413, 414, 415, 416</w:t>
            </w:r>
          </w:p>
        </w:tc>
        <w:tc>
          <w:tcPr>
            <w:tcW w:type="dxa" w:w="326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rito del lavoro: ambito, conciliazione, competenza, ricorso, decreto, costituzione</w:t>
            </w:r>
          </w:p>
        </w:tc>
        <w:tc>
          <w:tcPr>
            <w:tcW w:type="dxa" w:w="326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vigenti (artt. 414-416 nel testo dal 26/11/2024)</w:t>
            </w:r>
          </w:p>
        </w:tc>
      </w:tr>
      <w:tr>
        <w:trPr>
          <w:cantSplit/>
        </w:trPr>
        <w:tc>
          <w:tcPr>
            <w:tcW w:type="dxa" w:w="31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bCs/>
                <w:sz w:val="18"/>
                <w:szCs w:val="18"/>
              </w:rPr>
              <w:t xml:space="preserve">C.p.c., artt. 441-bis, 441-ter, 441-quater</w:t>
            </w:r>
          </w:p>
        </w:tc>
        <w:tc>
          <w:tcPr>
            <w:tcW w:type="dxa" w:w="326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controversie in materia di licenziamento (priorità, riduzione dei termini), socio di cooperativa, licenziamento discriminatorio</w:t>
            </w:r>
          </w:p>
        </w:tc>
        <w:tc>
          <w:tcPr>
            <w:tcW w:type="dxa" w:w="326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vigenti dal 1/1/2023 (applicabili ai procedimenti instaurati dopo il 28/2/2023)</w:t>
            </w:r>
          </w:p>
        </w:tc>
      </w:tr>
      <w:tr>
        <w:trPr>
          <w:cantSplit/>
        </w:trPr>
        <w:tc>
          <w:tcPr>
            <w:tcW w:type="dxa" w:w="310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C.p.c., artt. 669-bis, 669-ter, 700</w:t>
            </w:r>
          </w:p>
        </w:tc>
        <w:tc>
          <w:tcPr>
            <w:tcW w:type="dxa" w:w="326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ricorso cautelare ante causam</w:t>
            </w:r>
          </w:p>
        </w:tc>
        <w:tc>
          <w:tcPr>
            <w:tcW w:type="dxa" w:w="326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vigenti</w:t>
            </w:r>
          </w:p>
        </w:tc>
      </w:tr>
      <w:tr>
        <w:trPr>
          <w:cantSplit/>
        </w:trPr>
        <w:tc>
          <w:tcPr>
            <w:tcW w:type="dxa" w:w="31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D.lgs. 149/2022, artt. 35 e 37</w:t>
            </w:r>
          </w:p>
        </w:tc>
        <w:tc>
          <w:tcPr>
            <w:tcW w:type="dxa" w:w="326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disciplina transitoria; abrogazione dell'art. 1, commi 47-69, l. 92/2012</w:t>
            </w:r>
          </w:p>
        </w:tc>
        <w:tc>
          <w:tcPr>
            <w:tcW w:type="dxa" w:w="326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vigenti</w:t>
            </w:r>
          </w:p>
        </w:tc>
      </w:tr>
      <w:tr>
        <w:trPr>
          <w:cantSplit/>
        </w:trPr>
        <w:tc>
          <w:tcPr>
            <w:tcW w:type="dxa" w:w="310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L. 92/2012, art. 1, commi 47-69</w:t>
            </w:r>
          </w:p>
        </w:tc>
        <w:tc>
          <w:tcPr>
            <w:tcW w:type="dxa" w:w="326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rito Fornero: </w:t>
            </w:r>
            <w:r>
              <w:rPr>
                <w:rFonts w:ascii="Calibri" w:cs="Calibri" w:eastAsia="Calibri" w:hAnsi="Calibri"/>
                <w:b/>
                <w:bCs/>
                <w:sz w:val="18"/>
                <w:szCs w:val="18"/>
              </w:rPr>
              <w:t xml:space="preserve">abrogati</w:t>
            </w:r>
          </w:p>
        </w:tc>
        <w:tc>
          <w:tcPr>
            <w:tcW w:type="dxa" w:w="326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letto: ogni comma «abrogato dal d.lgs. 10 ottobre 2022, n. 149»</w:t>
            </w:r>
          </w:p>
        </w:tc>
      </w:tr>
      <w:tr>
        <w:trPr>
          <w:cantSplit/>
        </w:trPr>
        <w:tc>
          <w:tcPr>
            <w:tcW w:type="dxa" w:w="31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L. 742/1969, artt. 1 e 3</w:t>
            </w:r>
          </w:p>
        </w:tc>
        <w:tc>
          <w:tcPr>
            <w:tcW w:type="dxa" w:w="326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sospensione feriale dei termini processuali; esclusione delle controversie «previste dagli articoli 429 e 459» c.p.c. (testo del 1969: controversie individuali di lavoro e di previdenza)</w:t>
            </w:r>
          </w:p>
        </w:tc>
        <w:tc>
          <w:tcPr>
            <w:tcW w:type="dxa" w:w="326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vigenti; artt. 429 e 459 c.p.c. letti nel testo in vigore fino all'11/12/1973</w:t>
            </w:r>
          </w:p>
        </w:tc>
      </w:tr>
      <w:tr>
        <w:trPr>
          <w:cantSplit/>
        </w:trPr>
        <w:tc>
          <w:tcPr>
            <w:tcW w:type="dxa" w:w="310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D.P.R. 115/2002, artt. 9, comma 1-bis; 10, comma 6; 13, commi 1, 3 e 3-bis; 14, commi 2 e 3.1; 30; 76</w:t>
            </w:r>
          </w:p>
        </w:tc>
        <w:tc>
          <w:tcPr>
            <w:tcW w:type="dxa" w:w="326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contributo unificato nel lavoro; dichiarazioni nelle conclusioni; iscrizione a ruolo; anticipazione forfettaria; soglia di reddito</w:t>
            </w:r>
          </w:p>
        </w:tc>
        <w:tc>
          <w:tcPr>
            <w:tcW w:type="dxa" w:w="326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vigenti (art. 13 e 14 nel testo dal 1/1/2025; art. 76 dal 16/7/2026)</w:t>
            </w:r>
          </w:p>
        </w:tc>
      </w:tr>
      <w:tr>
        <w:trPr>
          <w:cantSplit w:val="false"/>
        </w:trPr>
        <w:tc>
          <w:tcPr>
            <w:tcW w:type="dxa" w:w="31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L. 319/1958, articolo unico</w:t>
            </w:r>
          </w:p>
        </w:tc>
        <w:tc>
          <w:tcPr>
            <w:tcW w:type="dxa" w:w="326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esenzione degli atti delle cause di lavoro «da ogni spesa, tassa o diritto», salvo l'art. 9, comma 1-bis, d.P.R. 115/2002</w:t>
            </w:r>
          </w:p>
        </w:tc>
        <w:tc>
          <w:tcPr>
            <w:tcW w:type="dxa" w:w="326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vigente </w:t>
            </w:r>
            <w:r>
              <w:rPr>
                <w:rFonts w:ascii="Calibri" w:cs="Calibri" w:eastAsia="Calibri" w:hAnsi="Calibri"/>
                <w:b/>
                <w:bCs/>
                <w:sz w:val="18"/>
                <w:szCs w:val="18"/>
              </w:rPr>
              <w:t xml:space="preserve">fino al 31/12/2026</w:t>
            </w:r>
            <w:r>
              <w:rPr>
                <w:rFonts w:ascii="Calibri" w:cs="Calibri" w:eastAsia="Calibri" w:hAnsi="Calibri"/>
                <w:b w:val="false"/>
                <w:bCs w:val="false"/>
                <w:sz w:val="18"/>
                <w:szCs w:val="18"/>
              </w:rPr>
              <w:t xml:space="preserve">; dal 1/1/2027 abrogata dall'art. 204, comma 1, lett. a), del d.lgs. 1° agosto 2025, n. 123 (testo unico imposta di registro; applicazione dal 1/1/2027 per l'art. 205, come modificato dal d.l. 31 dicembre 2025, n. 200) e </w:t>
            </w:r>
            <w:r>
              <w:rPr>
                <w:rFonts w:ascii="Calibri" w:cs="Calibri" w:eastAsia="Calibri" w:hAnsi="Calibri"/>
                <w:b/>
                <w:bCs/>
                <w:sz w:val="18"/>
                <w:szCs w:val="18"/>
              </w:rPr>
              <w:t xml:space="preserve">sostituita dall'art. 186 dello stesso testo unico</w:t>
            </w:r>
            <w:r>
              <w:rPr>
                <w:rFonts w:ascii="Calibri" w:cs="Calibri" w:eastAsia="Calibri" w:hAnsi="Calibri"/>
                <w:b w:val="false"/>
                <w:bCs w:val="false"/>
                <w:sz w:val="18"/>
                <w:szCs w:val="18"/>
              </w:rPr>
              <w:t xml:space="preserve">, che riproduce l'esenzione (v. § 4)</w:t>
            </w:r>
          </w:p>
        </w:tc>
      </w:tr>
      <w:tr>
        <w:trPr>
          <w:cantSplit/>
        </w:trPr>
        <w:tc>
          <w:tcPr>
            <w:tcW w:type="dxa" w:w="310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D.lgs. 123/2025, artt. 186 e 204, comma 2</w:t>
            </w:r>
          </w:p>
        </w:tc>
        <w:tc>
          <w:tcPr>
            <w:tcW w:type="dxa" w:w="326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«gratuità del giudizio» nelle controversie individuali di lavoro e di pubblico impiego, salvo l'art. 9, comma 1-bis, d.P.R. 115/2002; i rinvii alle norme abrogate valgono per le corrispondenti norme del testo unico</w:t>
            </w:r>
          </w:p>
        </w:tc>
        <w:tc>
          <w:tcPr>
            <w:tcW w:type="dxa" w:w="326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letti su Normattiva nel testo al 2/1/2027</w:t>
            </w:r>
          </w:p>
        </w:tc>
      </w:tr>
    </w:tbl>
    <w:p>
      <w:pPr>
        <w:spacing w:after="0" w:before="0" w:line="120"/>
      </w:pPr>
    </w:p>
    <w:p>
      <w:pPr>
        <w:pStyle w:val="Heading3"/>
      </w:pPr>
      <w:r>
        <w:rPr>
          <w:rFonts w:ascii="Calibri" w:cs="Calibri" w:eastAsia="Calibri" w:hAnsi="Calibri"/>
          <w:b/>
          <w:bCs/>
        </w:rPr>
        <w:t xml:space="preserve">Sentenze della Corte costituzionale (lette nel corpus Chiostro, testo integrale; estremi di Gazzetta Ufficiale dalle note di Normattiva)</w:t>
      </w:r>
    </w:p>
    <w:tbl>
      <w:tblPr>
        <w:tblW w:type="dxa" w:w="9638"/>
        <w:tblBorders>
          <w:top w:val="single" w:color="D9DAD2" w:sz="4"/>
          <w:left w:val="none" w:color="FFFFFF" w:sz="0"/>
          <w:bottom w:val="single" w:color="D9DAD2" w:sz="4"/>
          <w:right w:val="none" w:color="FFFFFF" w:sz="0"/>
          <w:insideH w:val="single" w:color="D9DAD2" w:sz="4"/>
          <w:insideV w:val="none" w:color="FFFFFF" w:sz="0"/>
        </w:tblBorders>
        <w:tblLayout w:type="fixed"/>
      </w:tblPr>
      <w:tblGrid>
        <w:gridCol w:w="4754"/>
        <w:gridCol w:w="4884"/>
      </w:tblGrid>
      <w:tr>
        <w:trPr>
          <w:cantSplit/>
          <w:tblHeader/>
        </w:trPr>
        <w:tc>
          <w:tcPr>
            <w:tcW w:type="dxa" w:w="4754"/>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Sentenza</w:t>
            </w:r>
          </w:p>
        </w:tc>
        <w:tc>
          <w:tcPr>
            <w:tcW w:type="dxa" w:w="4884"/>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Dispositivo (sintesi fedele)</w:t>
            </w:r>
          </w:p>
        </w:tc>
      </w:tr>
      <w:tr>
        <w:trPr>
          <w:cantSplit w:val="false"/>
        </w:trPr>
        <w:tc>
          <w:tcPr>
            <w:tcW w:type="dxa" w:w="475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bCs/>
                <w:sz w:val="18"/>
                <w:szCs w:val="18"/>
              </w:rPr>
              <w:t xml:space="preserve">n. 194/2018</w:t>
            </w:r>
            <w:r>
              <w:rPr>
                <w:rFonts w:ascii="Calibri" w:cs="Calibri" w:eastAsia="Calibri" w:hAnsi="Calibri"/>
                <w:b w:val="false"/>
                <w:bCs w:val="false"/>
                <w:sz w:val="18"/>
                <w:szCs w:val="18"/>
              </w:rPr>
              <w:t xml:space="preserve"> (dep. 8/11/2018; G.U. 1ª s.s. n. 45 del 14/11/2018)</w:t>
            </w:r>
          </w:p>
        </w:tc>
        <w:tc>
          <w:tcPr>
            <w:tcW w:type="dxa" w:w="488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Illegittimo l'art. 3, comma 1, d.lgs. 23/2015 (testo originario e testo modificato dal d.l. 87/2018) limitatamente alle parole «di importo pari a due mensilità dell'ultima retribuzione di riferimento per il calcolo del trattamento di fine rapporto per ogni anno di servizio,». Nella motivazione: il giudice, entro minimo e massimo, tiene conto «innanzi tutto dell'anzianità di servizio» e degli altri criteri (numero dei dipendenti occupati, dimensioni dell'attività economica, comportamento e condizioni delle parti).</w:t>
            </w:r>
          </w:p>
        </w:tc>
      </w:tr>
      <w:tr>
        <w:trPr>
          <w:cantSplit/>
        </w:trPr>
        <w:tc>
          <w:tcPr>
            <w:tcW w:type="dxa" w:w="475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bCs/>
                <w:sz w:val="18"/>
                <w:szCs w:val="18"/>
              </w:rPr>
              <w:t xml:space="preserve">n. 150/2020</w:t>
            </w:r>
            <w:r>
              <w:rPr>
                <w:rFonts w:ascii="Calibri" w:cs="Calibri" w:eastAsia="Calibri" w:hAnsi="Calibri"/>
                <w:b w:val="false"/>
                <w:bCs w:val="false"/>
                <w:sz w:val="18"/>
                <w:szCs w:val="18"/>
              </w:rPr>
              <w:t xml:space="preserve"> (dep. 16/7/2020; G.U. 1ª s.s. n. 30 del 22/7/2020)</w:t>
            </w:r>
          </w:p>
        </w:tc>
        <w:tc>
          <w:tcPr>
            <w:tcW w:type="dxa" w:w="488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Illegittimo l'art. 4 d.lgs. 23/2015 limitatamente alle parole «di importo pari a una mensilità dell'ultima retribuzione di riferimento per il calcolo del trattamento di fine rapporto per ogni anno di servizio».</w:t>
            </w:r>
          </w:p>
        </w:tc>
      </w:tr>
      <w:tr>
        <w:trPr>
          <w:cantSplit/>
        </w:trPr>
        <w:tc>
          <w:tcPr>
            <w:tcW w:type="dxa" w:w="475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bCs/>
                <w:sz w:val="18"/>
                <w:szCs w:val="18"/>
              </w:rPr>
              <w:t xml:space="preserve">n. 212/2020</w:t>
            </w:r>
            <w:r>
              <w:rPr>
                <w:rFonts w:ascii="Calibri" w:cs="Calibri" w:eastAsia="Calibri" w:hAnsi="Calibri"/>
                <w:b w:val="false"/>
                <w:bCs w:val="false"/>
                <w:sz w:val="18"/>
                <w:szCs w:val="18"/>
              </w:rPr>
              <w:t xml:space="preserve"> (dep. 14/10/2020; G.U. 1ª s.s. n. 43 del 21/10/2020)</w:t>
            </w:r>
          </w:p>
        </w:tc>
        <w:tc>
          <w:tcPr>
            <w:tcW w:type="dxa" w:w="488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Illegittimo l'art. 6, secondo comma, l. 604/1966 nella parte in cui non prevede che l'impugnazione è conservata, entro i 180 giorni, «anche dal deposito del ricorso cautelare anteriore alla causa ai sensi degli artt. 669-bis, 669-ter e 700» c.p.c.</w:t>
            </w:r>
          </w:p>
        </w:tc>
      </w:tr>
      <w:tr>
        <w:trPr>
          <w:cantSplit/>
        </w:trPr>
        <w:tc>
          <w:tcPr>
            <w:tcW w:type="dxa" w:w="475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bCs/>
                <w:sz w:val="18"/>
                <w:szCs w:val="18"/>
              </w:rPr>
              <w:t xml:space="preserve">n. 59/2021</w:t>
            </w:r>
            <w:r>
              <w:rPr>
                <w:rFonts w:ascii="Calibri" w:cs="Calibri" w:eastAsia="Calibri" w:hAnsi="Calibri"/>
                <w:b w:val="false"/>
                <w:bCs w:val="false"/>
                <w:sz w:val="18"/>
                <w:szCs w:val="18"/>
              </w:rPr>
              <w:t xml:space="preserve"> (dep. 1/4/2021; G.U. 1ª s.s. n. 14 del 7/4/2021)</w:t>
            </w:r>
          </w:p>
        </w:tc>
        <w:tc>
          <w:tcPr>
            <w:tcW w:type="dxa" w:w="488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Art. 18, settimo comma, secondo periodo, St. lav.: in caso di (allora «manifesta») insussistenza del fatto posto a base del GMO il giudice «applica altresì», non più «può altresì applicare», la tutela del quarto comma.</w:t>
            </w:r>
          </w:p>
        </w:tc>
      </w:tr>
      <w:tr>
        <w:trPr>
          <w:cantSplit/>
        </w:trPr>
        <w:tc>
          <w:tcPr>
            <w:tcW w:type="dxa" w:w="475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bCs/>
                <w:sz w:val="18"/>
                <w:szCs w:val="18"/>
              </w:rPr>
              <w:t xml:space="preserve">n. 125/2022</w:t>
            </w:r>
            <w:r>
              <w:rPr>
                <w:rFonts w:ascii="Calibri" w:cs="Calibri" w:eastAsia="Calibri" w:hAnsi="Calibri"/>
                <w:b w:val="false"/>
                <w:bCs w:val="false"/>
                <w:sz w:val="18"/>
                <w:szCs w:val="18"/>
              </w:rPr>
              <w:t xml:space="preserve"> (dep. 19/5/2022; G.U. 1ª s.s. n. 21 del 25/5/2022)</w:t>
            </w:r>
          </w:p>
        </w:tc>
        <w:tc>
          <w:tcPr>
            <w:tcW w:type="dxa" w:w="488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Art. 18, settimo comma, secondo periodo: illegittima la parola «manifesta».</w:t>
            </w:r>
          </w:p>
        </w:tc>
      </w:tr>
      <w:tr>
        <w:trPr>
          <w:cantSplit/>
        </w:trPr>
        <w:tc>
          <w:tcPr>
            <w:tcW w:type="dxa" w:w="475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bCs/>
                <w:sz w:val="18"/>
                <w:szCs w:val="18"/>
              </w:rPr>
              <w:t xml:space="preserve">n. 22/2024</w:t>
            </w:r>
            <w:r>
              <w:rPr>
                <w:rFonts w:ascii="Calibri" w:cs="Calibri" w:eastAsia="Calibri" w:hAnsi="Calibri"/>
                <w:b w:val="false"/>
                <w:bCs w:val="false"/>
                <w:sz w:val="18"/>
                <w:szCs w:val="18"/>
              </w:rPr>
              <w:t xml:space="preserve"> (dep. 22/2/2024; G.U. 1ª s.s. n. 9 del 28/2/2024)</w:t>
            </w:r>
          </w:p>
        </w:tc>
        <w:tc>
          <w:tcPr>
            <w:tcW w:type="dxa" w:w="488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Art. 2, comma 1, d.lgs. 23/2015: illegittima la parola «espressamente». In motivazione: occorre «pur sempre che la disposizione imperativa rechi, in modo espresso o no, un divieto di licenziamento».</w:t>
            </w:r>
          </w:p>
        </w:tc>
      </w:tr>
      <w:tr>
        <w:trPr>
          <w:cantSplit w:val="false"/>
        </w:trPr>
        <w:tc>
          <w:tcPr>
            <w:tcW w:type="dxa" w:w="475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bCs/>
                <w:sz w:val="18"/>
                <w:szCs w:val="18"/>
              </w:rPr>
              <w:t xml:space="preserve">n. 128/2024</w:t>
            </w:r>
            <w:r>
              <w:rPr>
                <w:rFonts w:ascii="Calibri" w:cs="Calibri" w:eastAsia="Calibri" w:hAnsi="Calibri"/>
                <w:b w:val="false"/>
                <w:bCs w:val="false"/>
                <w:sz w:val="18"/>
                <w:szCs w:val="18"/>
              </w:rPr>
              <w:t xml:space="preserve"> (dep. 16/7/2024; G.U. 1ª s.s. n. 29 del 17/7/2024)</w:t>
            </w:r>
          </w:p>
        </w:tc>
        <w:tc>
          <w:tcPr>
            <w:tcW w:type="dxa" w:w="488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Art. 3, comma 2, d.lgs. 23/2015 illegittimo nella parte in cui non si applica anche al </w:t>
            </w:r>
            <w:r>
              <w:rPr>
                <w:rFonts w:ascii="Calibri" w:cs="Calibri" w:eastAsia="Calibri" w:hAnsi="Calibri"/>
                <w:b/>
                <w:bCs/>
                <w:sz w:val="18"/>
                <w:szCs w:val="18"/>
              </w:rPr>
              <w:t xml:space="preserve">licenziamento per GMO</w:t>
            </w:r>
            <w:r>
              <w:rPr>
                <w:rFonts w:ascii="Calibri" w:cs="Calibri" w:eastAsia="Calibri" w:hAnsi="Calibri"/>
                <w:b w:val="false"/>
                <w:bCs w:val="false"/>
                <w:sz w:val="18"/>
                <w:szCs w:val="18"/>
              </w:rPr>
              <w:t xml:space="preserve"> in cui sia direttamente dimostrata in giudizio l'insussistenza del fatto materiale allegato dal datore, «rispetto alla quale resta estranea ogni valutazione circa il ricollocamento del lavoratore». In motivazione (§ 16): la violazione dell'obbligo di repêchage attiva la sola tutela indennitaria del comma 1.</w:t>
            </w:r>
          </w:p>
        </w:tc>
      </w:tr>
      <w:tr>
        <w:trPr>
          <w:cantSplit/>
        </w:trPr>
        <w:tc>
          <w:tcPr>
            <w:tcW w:type="dxa" w:w="475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bCs/>
                <w:sz w:val="18"/>
                <w:szCs w:val="18"/>
              </w:rPr>
              <w:t xml:space="preserve">n. 129/2024</w:t>
            </w:r>
            <w:r>
              <w:rPr>
                <w:rFonts w:ascii="Calibri" w:cs="Calibri" w:eastAsia="Calibri" w:hAnsi="Calibri"/>
                <w:b w:val="false"/>
                <w:bCs w:val="false"/>
                <w:sz w:val="18"/>
                <w:szCs w:val="18"/>
              </w:rPr>
              <w:t xml:space="preserve"> (dep. 16/7/2024)</w:t>
            </w:r>
          </w:p>
        </w:tc>
        <w:tc>
          <w:tcPr>
            <w:tcW w:type="dxa" w:w="488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Questioni sull'art. 3, comma 2, d.lgs. 23/2015 non fondate, una «nei sensi di cui in motivazione»: quando il contratto collettivo punisce </w:t>
            </w:r>
            <w:r>
              <w:rPr>
                <w:rFonts w:ascii="Calibri" w:cs="Calibri" w:eastAsia="Calibri" w:hAnsi="Calibri"/>
                <w:b/>
                <w:bCs/>
                <w:sz w:val="18"/>
                <w:szCs w:val="18"/>
              </w:rPr>
              <w:t xml:space="preserve">lo specifico fatto</w:t>
            </w:r>
            <w:r>
              <w:rPr>
                <w:rFonts w:ascii="Calibri" w:cs="Calibri" w:eastAsia="Calibri" w:hAnsi="Calibri"/>
                <w:b w:val="false"/>
                <w:bCs w:val="false"/>
                <w:sz w:val="18"/>
                <w:szCs w:val="18"/>
              </w:rPr>
              <w:t xml:space="preserve"> contestato con una sanzione solo conservativa, il caso è equiparato all'insussistenza del fatto materiale, con tutela reintegratoria attenuata.</w:t>
            </w:r>
          </w:p>
        </w:tc>
      </w:tr>
      <w:tr>
        <w:trPr>
          <w:cantSplit/>
        </w:trPr>
        <w:tc>
          <w:tcPr>
            <w:tcW w:type="dxa" w:w="475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bCs/>
                <w:sz w:val="18"/>
                <w:szCs w:val="18"/>
              </w:rPr>
              <w:t xml:space="preserve">n. 111/2025</w:t>
            </w:r>
            <w:r>
              <w:rPr>
                <w:rFonts w:ascii="Calibri" w:cs="Calibri" w:eastAsia="Calibri" w:hAnsi="Calibri"/>
                <w:b w:val="false"/>
                <w:bCs w:val="false"/>
                <w:sz w:val="18"/>
                <w:szCs w:val="18"/>
              </w:rPr>
              <w:t xml:space="preserve"> (dep. 18/7/2025; G.U. 1ª s.s. n. 30 del 23/7/2025)</w:t>
            </w:r>
          </w:p>
        </w:tc>
        <w:tc>
          <w:tcPr>
            <w:tcW w:type="dxa" w:w="488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Art. 6, primo comma, l. 604/1966: se il lavoratore è incapace di intendere o di volere alla ricezione o durante i 60 giorni, «non opera l'onere della previa impugnazione, anche extragiudiziale», e il licenziamento può essere impugnato entro </w:t>
            </w:r>
            <w:r>
              <w:rPr>
                <w:rFonts w:ascii="Calibri" w:cs="Calibri" w:eastAsia="Calibri" w:hAnsi="Calibri"/>
                <w:b/>
                <w:bCs/>
                <w:sz w:val="18"/>
                <w:szCs w:val="18"/>
              </w:rPr>
              <w:t xml:space="preserve">240 giorni dalla ricezione</w:t>
            </w:r>
            <w:r>
              <w:rPr>
                <w:rFonts w:ascii="Calibri" w:cs="Calibri" w:eastAsia="Calibri" w:hAnsi="Calibri"/>
                <w:b w:val="false"/>
                <w:bCs w:val="false"/>
                <w:sz w:val="18"/>
                <w:szCs w:val="18"/>
              </w:rPr>
              <w:t xml:space="preserve"> con ricorso, anche cautelare, o richiesta di conciliazione o arbitrato.</w:t>
            </w:r>
          </w:p>
        </w:tc>
      </w:tr>
      <w:tr>
        <w:trPr>
          <w:cantSplit/>
        </w:trPr>
        <w:tc>
          <w:tcPr>
            <w:tcW w:type="dxa" w:w="475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bCs/>
                <w:sz w:val="18"/>
                <w:szCs w:val="18"/>
              </w:rPr>
              <w:t xml:space="preserve">n. 118/2025</w:t>
            </w:r>
            <w:r>
              <w:rPr>
                <w:rFonts w:ascii="Calibri" w:cs="Calibri" w:eastAsia="Calibri" w:hAnsi="Calibri"/>
                <w:b w:val="false"/>
                <w:bCs w:val="false"/>
                <w:sz w:val="18"/>
                <w:szCs w:val="18"/>
              </w:rPr>
              <w:t xml:space="preserve"> (dep. 21/7/2025; G.U. 1ª s.s. n. 30 del 23/7/2025)</w:t>
            </w:r>
          </w:p>
        </w:tc>
        <w:tc>
          <w:tcPr>
            <w:tcW w:type="dxa" w:w="488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Art. 9, comma 1, d.lgs. 23/2015: illegittime le parole «e non può in ogni caso superare il limite di sei mensilità». </w:t>
            </w:r>
            <w:r>
              <w:rPr>
                <w:rFonts w:ascii="Calibri" w:cs="Calibri" w:eastAsia="Calibri" w:hAnsi="Calibri"/>
                <w:b/>
                <w:bCs/>
                <w:sz w:val="18"/>
                <w:szCs w:val="18"/>
              </w:rPr>
              <w:t xml:space="preserve">Resta il dimezzamento</w:t>
            </w:r>
            <w:r>
              <w:rPr>
                <w:rFonts w:ascii="Calibri" w:cs="Calibri" w:eastAsia="Calibri" w:hAnsi="Calibri"/>
                <w:b w:val="false"/>
                <w:bCs w:val="false"/>
                <w:sz w:val="18"/>
                <w:szCs w:val="18"/>
              </w:rPr>
              <w:t xml:space="preserve"> delle indennità per i datori sotto soglia. La sentenza richiama la n. 183/2022, che aveva dichiarato inammissibili analoghe questioni con un monito al legislatore.</w:t>
            </w:r>
          </w:p>
        </w:tc>
      </w:tr>
    </w:tbl>
    <w:p>
      <w:pPr>
        <w:spacing w:after="0" w:before="0" w:line="120"/>
      </w:pPr>
    </w:p>
    <w:p>
      <w:pPr>
        <w:pStyle w:val="Corpo"/>
        <w:keepNext w:val="false"/>
        <w:spacing w:after="100" w:line="264"/>
        <w:jc w:val="left"/>
      </w:pPr>
      <w:r>
        <w:rPr>
          <w:rFonts w:ascii="Calibri" w:cs="Calibri" w:eastAsia="Calibri" w:hAnsi="Calibri"/>
          <w:b/>
          <w:bCs/>
          <w:sz w:val="21"/>
          <w:szCs w:val="21"/>
        </w:rPr>
        <w:t xml:space="preserve">Attenzione alla lettura su Normattiva:</w:t>
      </w:r>
      <w:r>
        <w:rPr>
          <w:rFonts w:ascii="Calibri" w:cs="Calibri" w:eastAsia="Calibri" w:hAnsi="Calibri"/>
          <w:sz w:val="21"/>
          <w:szCs w:val="21"/>
        </w:rPr>
        <w:t xml:space="preserve"> il testo degli artt. 2, 3, 4 e 9 d.lgs. 23/2015 e dell'art. 18 St. lav. è riportato </w:t>
      </w:r>
      <w:r>
        <w:rPr>
          <w:rFonts w:ascii="Calibri" w:cs="Calibri" w:eastAsia="Calibri" w:hAnsi="Calibri"/>
          <w:b/>
          <w:bCs/>
          <w:sz w:val="21"/>
          <w:szCs w:val="21"/>
        </w:rPr>
        <w:t xml:space="preserve">con le parole dichiarate illegittime ancora presenti</w:t>
      </w:r>
      <w:r>
        <w:rPr>
          <w:rFonts w:ascii="Calibri" w:cs="Calibri" w:eastAsia="Calibri" w:hAnsi="Calibri"/>
          <w:sz w:val="21"/>
          <w:szCs w:val="21"/>
        </w:rPr>
        <w:t xml:space="preserve">, e la pronuncia è in nota. Nel ricorso citate il testo </w:t>
      </w:r>
      <w:r>
        <w:rPr>
          <w:rFonts w:ascii="Calibri" w:cs="Calibri" w:eastAsia="Calibri" w:hAnsi="Calibri"/>
          <w:b/>
          <w:bCs/>
          <w:sz w:val="21"/>
          <w:szCs w:val="21"/>
        </w:rPr>
        <w:t xml:space="preserve">risultante</w:t>
      </w:r>
      <w:r>
        <w:rPr>
          <w:rFonts w:ascii="Calibri" w:cs="Calibri" w:eastAsia="Calibri" w:hAnsi="Calibri"/>
          <w:sz w:val="21"/>
          <w:szCs w:val="21"/>
        </w:rPr>
        <w:t xml:space="preserve"> dalle sentenze (v. § 9).</w:t>
      </w:r>
    </w:p>
    <w:p>
      <w:pPr>
        <w:pStyle w:val="Heading2"/>
      </w:pPr>
      <w:r>
        <w:rPr>
          <w:rFonts w:ascii="Georgia" w:cs="Georgia" w:eastAsia="Georgia" w:hAnsi="Georgia"/>
          <w:b/>
          <w:bCs/>
        </w:rPr>
        <w:t xml:space="preserve">3. Termini e scadenze</w:t>
      </w:r>
    </w:p>
    <w:tbl>
      <w:tblPr>
        <w:tblW w:type="dxa" w:w="9638"/>
        <w:tblBorders>
          <w:top w:val="single" w:color="D9DAD2" w:sz="4"/>
          <w:left w:val="none" w:color="FFFFFF" w:sz="0"/>
          <w:bottom w:val="single" w:color="D9DAD2" w:sz="4"/>
          <w:right w:val="none" w:color="FFFFFF" w:sz="0"/>
          <w:insideH w:val="single" w:color="D9DAD2" w:sz="4"/>
          <w:insideV w:val="none" w:color="FFFFFF" w:sz="0"/>
        </w:tblBorders>
        <w:tblLayout w:type="fixed"/>
      </w:tblPr>
      <w:tblGrid>
        <w:gridCol w:w="1386"/>
        <w:gridCol w:w="3263"/>
        <w:gridCol w:w="3264"/>
        <w:gridCol w:w="1725"/>
      </w:tblGrid>
      <w:tr>
        <w:trPr>
          <w:cantSplit/>
          <w:tblHeader/>
        </w:trPr>
        <w:tc>
          <w:tcPr>
            <w:tcW w:type="dxa" w:w="1386"/>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Chi</w:t>
            </w:r>
          </w:p>
        </w:tc>
        <w:tc>
          <w:tcPr>
            <w:tcW w:type="dxa" w:w="3263"/>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Che cosa</w:t>
            </w:r>
          </w:p>
        </w:tc>
        <w:tc>
          <w:tcPr>
            <w:tcW w:type="dxa" w:w="3264"/>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Entro quando</w:t>
            </w:r>
          </w:p>
        </w:tc>
        <w:tc>
          <w:tcPr>
            <w:tcW w:type="dxa" w:w="1725"/>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Se si sbaglia</w:t>
            </w:r>
          </w:p>
        </w:tc>
      </w:tr>
      <w:tr>
        <w:trPr>
          <w:cantSplit/>
        </w:trPr>
        <w:tc>
          <w:tcPr>
            <w:tcW w:type="dxa" w:w="138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Lavoratore</w:t>
            </w:r>
          </w:p>
        </w:tc>
        <w:tc>
          <w:tcPr>
            <w:tcW w:type="dxa" w:w="3263"/>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Impugnazione scritta (anche stragiudiziale, anche tramite il sindacato)</w:t>
            </w:r>
          </w:p>
        </w:tc>
        <w:tc>
          <w:tcPr>
            <w:tcW w:type="dxa" w:w="326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bCs/>
                <w:sz w:val="18"/>
                <w:szCs w:val="18"/>
              </w:rPr>
              <w:t xml:space="preserve">60 giorni</w:t>
            </w:r>
            <w:r>
              <w:rPr>
                <w:rFonts w:ascii="Calibri" w:cs="Calibri" w:eastAsia="Calibri" w:hAnsi="Calibri"/>
                <w:b w:val="false"/>
                <w:bCs w:val="false"/>
                <w:sz w:val="18"/>
                <w:szCs w:val="18"/>
              </w:rPr>
              <w:t xml:space="preserve"> dalla ricezione della comunicazione scritta del licenziamento, o dei motivi se non contestuali (art. 6, primo comma)</w:t>
            </w:r>
          </w:p>
        </w:tc>
        <w:tc>
          <w:tcPr>
            <w:tcW w:type="dxa" w:w="1725"/>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Decadenza: il licenziamento non è più contestabile</w:t>
            </w:r>
          </w:p>
        </w:tc>
      </w:tr>
      <w:tr>
        <w:trPr>
          <w:cantSplit/>
        </w:trPr>
        <w:tc>
          <w:tcPr>
            <w:tcW w:type="dxa" w:w="138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Lavoratore</w:t>
            </w:r>
          </w:p>
        </w:tc>
        <w:tc>
          <w:tcPr>
            <w:tcW w:type="dxa" w:w="3263"/>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Deposito del ricorso al giudice del lavoro, </w:t>
            </w:r>
            <w:r>
              <w:rPr>
                <w:rFonts w:ascii="Calibri" w:cs="Calibri" w:eastAsia="Calibri" w:hAnsi="Calibri"/>
                <w:b/>
                <w:bCs/>
                <w:sz w:val="18"/>
                <w:szCs w:val="18"/>
              </w:rPr>
              <w:t xml:space="preserve">o</w:t>
            </w:r>
            <w:r>
              <w:rPr>
                <w:rFonts w:ascii="Calibri" w:cs="Calibri" w:eastAsia="Calibri" w:hAnsi="Calibri"/>
                <w:b w:val="false"/>
                <w:bCs w:val="false"/>
                <w:sz w:val="18"/>
                <w:szCs w:val="18"/>
              </w:rPr>
              <w:t xml:space="preserve"> del ricorso cautelare ante causam (C. cost. 212/2020), </w:t>
            </w:r>
            <w:r>
              <w:rPr>
                <w:rFonts w:ascii="Calibri" w:cs="Calibri" w:eastAsia="Calibri" w:hAnsi="Calibri"/>
                <w:b/>
                <w:bCs/>
                <w:sz w:val="18"/>
                <w:szCs w:val="18"/>
              </w:rPr>
              <w:t xml:space="preserve">o</w:t>
            </w:r>
            <w:r>
              <w:rPr>
                <w:rFonts w:ascii="Calibri" w:cs="Calibri" w:eastAsia="Calibri" w:hAnsi="Calibri"/>
                <w:b w:val="false"/>
                <w:bCs w:val="false"/>
                <w:sz w:val="18"/>
                <w:szCs w:val="18"/>
              </w:rPr>
              <w:t xml:space="preserve"> comunicazione al datore della richiesta di conciliazione o arbitrato</w:t>
            </w:r>
          </w:p>
        </w:tc>
        <w:tc>
          <w:tcPr>
            <w:tcW w:type="dxa" w:w="326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bCs/>
                <w:sz w:val="18"/>
                <w:szCs w:val="18"/>
              </w:rPr>
              <w:t xml:space="preserve">180 giorni</w:t>
            </w:r>
            <w:r>
              <w:rPr>
                <w:rFonts w:ascii="Calibri" w:cs="Calibri" w:eastAsia="Calibri" w:hAnsi="Calibri"/>
                <w:b w:val="false"/>
                <w:bCs w:val="false"/>
                <w:sz w:val="18"/>
                <w:szCs w:val="18"/>
              </w:rPr>
              <w:t xml:space="preserve">, «successivo termine» (art. 6, secondo comma)</w:t>
            </w:r>
          </w:p>
        </w:tc>
        <w:tc>
          <w:tcPr>
            <w:tcW w:type="dxa" w:w="1725"/>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L'impugnazione diventa inefficace</w:t>
            </w:r>
          </w:p>
        </w:tc>
      </w:tr>
      <w:tr>
        <w:trPr>
          <w:cantSplit/>
        </w:trPr>
        <w:tc>
          <w:tcPr>
            <w:tcW w:type="dxa" w:w="138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Lavoratore</w:t>
            </w:r>
          </w:p>
        </w:tc>
        <w:tc>
          <w:tcPr>
            <w:tcW w:type="dxa" w:w="3263"/>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Ricorso dopo conciliazione o arbitrato </w:t>
            </w:r>
            <w:r>
              <w:rPr>
                <w:rFonts w:ascii="Calibri" w:cs="Calibri" w:eastAsia="Calibri" w:hAnsi="Calibri"/>
                <w:b/>
                <w:bCs/>
                <w:sz w:val="18"/>
                <w:szCs w:val="18"/>
              </w:rPr>
              <w:t xml:space="preserve">rifiutati</w:t>
            </w:r>
            <w:r>
              <w:rPr>
                <w:rFonts w:ascii="Calibri" w:cs="Calibri" w:eastAsia="Calibri" w:hAnsi="Calibri"/>
                <w:b w:val="false"/>
                <w:bCs w:val="false"/>
                <w:sz w:val="18"/>
                <w:szCs w:val="18"/>
              </w:rPr>
              <w:t xml:space="preserve"> o mancato accordo per espletarli</w:t>
            </w:r>
          </w:p>
        </w:tc>
        <w:tc>
          <w:tcPr>
            <w:tcW w:type="dxa" w:w="326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bCs/>
                <w:sz w:val="18"/>
                <w:szCs w:val="18"/>
              </w:rPr>
              <w:t xml:space="preserve">60 giorni</w:t>
            </w:r>
            <w:r>
              <w:rPr>
                <w:rFonts w:ascii="Calibri" w:cs="Calibri" w:eastAsia="Calibri" w:hAnsi="Calibri"/>
                <w:b w:val="false"/>
                <w:bCs w:val="false"/>
                <w:sz w:val="18"/>
                <w:szCs w:val="18"/>
              </w:rPr>
              <w:t xml:space="preserve"> dal rifiuto o dal mancato accordo (art. 6, secondo comma, ultimo periodo)</w:t>
            </w:r>
          </w:p>
        </w:tc>
        <w:tc>
          <w:tcPr>
            <w:tcW w:type="dxa" w:w="1725"/>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Decadenza</w:t>
            </w:r>
          </w:p>
        </w:tc>
      </w:tr>
      <w:tr>
        <w:trPr>
          <w:cantSplit/>
        </w:trPr>
        <w:tc>
          <w:tcPr>
            <w:tcW w:type="dxa" w:w="138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Lavoratore incapace (C. cost. 111/2025)</w:t>
            </w:r>
          </w:p>
        </w:tc>
        <w:tc>
          <w:tcPr>
            <w:tcW w:type="dxa" w:w="3263"/>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Ricorso, anche cautelare, o richiesta di conciliazione/arbitrato, senza previa impugnazione</w:t>
            </w:r>
          </w:p>
        </w:tc>
        <w:tc>
          <w:tcPr>
            <w:tcW w:type="dxa" w:w="326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bCs/>
                <w:sz w:val="18"/>
                <w:szCs w:val="18"/>
              </w:rPr>
              <w:t xml:space="preserve">240 giorni dalla ricezione</w:t>
            </w:r>
          </w:p>
        </w:tc>
        <w:tc>
          <w:tcPr>
            <w:tcW w:type="dxa" w:w="1725"/>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Decadenza</w:t>
            </w:r>
          </w:p>
        </w:tc>
      </w:tr>
      <w:tr>
        <w:trPr>
          <w:cantSplit/>
        </w:trPr>
        <w:tc>
          <w:tcPr>
            <w:tcW w:type="dxa" w:w="138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Datore</w:t>
            </w:r>
          </w:p>
        </w:tc>
        <w:tc>
          <w:tcPr>
            <w:tcW w:type="dxa" w:w="3263"/>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Revoca del licenziamento senza conseguenze sanzionatorie</w:t>
            </w:r>
          </w:p>
        </w:tc>
        <w:tc>
          <w:tcPr>
            <w:tcW w:type="dxa" w:w="326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bCs/>
                <w:sz w:val="18"/>
                <w:szCs w:val="18"/>
              </w:rPr>
              <w:t xml:space="preserve">15 giorni</w:t>
            </w:r>
            <w:r>
              <w:rPr>
                <w:rFonts w:ascii="Calibri" w:cs="Calibri" w:eastAsia="Calibri" w:hAnsi="Calibri"/>
                <w:b w:val="false"/>
                <w:bCs w:val="false"/>
                <w:sz w:val="18"/>
                <w:szCs w:val="18"/>
              </w:rPr>
              <w:t xml:space="preserve"> dalla comunicazione dell'impugnazione (art. 5 d.lgs. 23/2015; art. 18, comma 10, St. lav.)</w:t>
            </w:r>
          </w:p>
        </w:tc>
        <w:tc>
          <w:tcPr>
            <w:tcW w:type="dxa" w:w="1725"/>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w:t>
            </w:r>
          </w:p>
        </w:tc>
      </w:tr>
      <w:tr>
        <w:trPr>
          <w:cantSplit/>
        </w:trPr>
        <w:tc>
          <w:tcPr>
            <w:tcW w:type="dxa" w:w="138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Datore (tutele crescenti)</w:t>
            </w:r>
          </w:p>
        </w:tc>
        <w:tc>
          <w:tcPr>
            <w:tcW w:type="dxa" w:w="3263"/>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Offerta di conciliazione con assegno circolare in sede protetta</w:t>
            </w:r>
          </w:p>
        </w:tc>
        <w:tc>
          <w:tcPr>
            <w:tcW w:type="dxa" w:w="326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bCs/>
                <w:sz w:val="18"/>
                <w:szCs w:val="18"/>
              </w:rPr>
              <w:t xml:space="preserve">entro i termini di impugnazione stragiudiziale</w:t>
            </w:r>
            <w:r>
              <w:rPr>
                <w:rFonts w:ascii="Calibri" w:cs="Calibri" w:eastAsia="Calibri" w:hAnsi="Calibri"/>
                <w:b w:val="false"/>
                <w:bCs w:val="false"/>
                <w:sz w:val="18"/>
                <w:szCs w:val="18"/>
              </w:rPr>
              <w:t xml:space="preserve"> (art. 6 d.lgs. 23/2015)</w:t>
            </w:r>
          </w:p>
        </w:tc>
        <w:tc>
          <w:tcPr>
            <w:tcW w:type="dxa" w:w="1725"/>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w:t>
            </w:r>
          </w:p>
        </w:tc>
      </w:tr>
      <w:tr>
        <w:trPr>
          <w:cantSplit/>
        </w:trPr>
        <w:tc>
          <w:tcPr>
            <w:tcW w:type="dxa" w:w="138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Giudice</w:t>
            </w:r>
          </w:p>
        </w:tc>
        <w:tc>
          <w:tcPr>
            <w:tcW w:type="dxa" w:w="3263"/>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Decreto di fissazione dell'udienza</w:t>
            </w:r>
          </w:p>
        </w:tc>
        <w:tc>
          <w:tcPr>
            <w:tcW w:type="dxa" w:w="326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5 giorni dal deposito; udienza entro 60 giorni dal deposito (art. 415, commi 2-3)</w:t>
            </w:r>
          </w:p>
        </w:tc>
        <w:tc>
          <w:tcPr>
            <w:tcW w:type="dxa" w:w="1725"/>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w:t>
            </w:r>
          </w:p>
        </w:tc>
      </w:tr>
      <w:tr>
        <w:trPr>
          <w:cantSplit/>
        </w:trPr>
        <w:tc>
          <w:tcPr>
            <w:tcW w:type="dxa" w:w="138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Ricorrente</w:t>
            </w:r>
          </w:p>
        </w:tc>
        <w:tc>
          <w:tcPr>
            <w:tcW w:type="dxa" w:w="3263"/>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Notifica di ricorso e decreto</w:t>
            </w:r>
          </w:p>
        </w:tc>
        <w:tc>
          <w:tcPr>
            <w:tcW w:type="dxa" w:w="326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bCs/>
                <w:sz w:val="18"/>
                <w:szCs w:val="18"/>
              </w:rPr>
              <w:t xml:space="preserve">10 giorni</w:t>
            </w:r>
            <w:r>
              <w:rPr>
                <w:rFonts w:ascii="Calibri" w:cs="Calibri" w:eastAsia="Calibri" w:hAnsi="Calibri"/>
                <w:b w:val="false"/>
                <w:bCs w:val="false"/>
                <w:sz w:val="18"/>
                <w:szCs w:val="18"/>
              </w:rPr>
              <w:t xml:space="preserve"> dalla pronuncia del decreto; almeno </w:t>
            </w:r>
            <w:r>
              <w:rPr>
                <w:rFonts w:ascii="Calibri" w:cs="Calibri" w:eastAsia="Calibri" w:hAnsi="Calibri"/>
                <w:b/>
                <w:bCs/>
                <w:sz w:val="18"/>
                <w:szCs w:val="18"/>
              </w:rPr>
              <w:t xml:space="preserve">30 giorni</w:t>
            </w:r>
            <w:r>
              <w:rPr>
                <w:rFonts w:ascii="Calibri" w:cs="Calibri" w:eastAsia="Calibri" w:hAnsi="Calibri"/>
                <w:b w:val="false"/>
                <w:bCs w:val="false"/>
                <w:sz w:val="18"/>
                <w:szCs w:val="18"/>
              </w:rPr>
              <w:t xml:space="preserve"> liberi tra notifica e udienza (art. 415, commi 4-5); termini dimezzabili dal giudice nelle cause con domanda di reintegrazione, ma mai meno di </w:t>
            </w:r>
            <w:r>
              <w:rPr>
                <w:rFonts w:ascii="Calibri" w:cs="Calibri" w:eastAsia="Calibri" w:hAnsi="Calibri"/>
                <w:b/>
                <w:bCs/>
                <w:sz w:val="18"/>
                <w:szCs w:val="18"/>
              </w:rPr>
              <w:t xml:space="preserve">20 giorni</w:t>
            </w:r>
            <w:r>
              <w:rPr>
                <w:rFonts w:ascii="Calibri" w:cs="Calibri" w:eastAsia="Calibri" w:hAnsi="Calibri"/>
                <w:b w:val="false"/>
                <w:bCs w:val="false"/>
                <w:sz w:val="18"/>
                <w:szCs w:val="18"/>
              </w:rPr>
              <w:t xml:space="preserve"> tra notifica e udienza (art. 441-bis, terzo comma)</w:t>
            </w:r>
          </w:p>
        </w:tc>
        <w:tc>
          <w:tcPr>
            <w:tcW w:type="dxa" w:w="1725"/>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w:t>
            </w:r>
          </w:p>
        </w:tc>
      </w:tr>
      <w:tr>
        <w:trPr>
          <w:cantSplit/>
        </w:trPr>
        <w:tc>
          <w:tcPr>
            <w:tcW w:type="dxa" w:w="138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Convenuto</w:t>
            </w:r>
          </w:p>
        </w:tc>
        <w:tc>
          <w:tcPr>
            <w:tcW w:type="dxa" w:w="3263"/>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Costituzione con memoria</w:t>
            </w:r>
          </w:p>
        </w:tc>
        <w:tc>
          <w:tcPr>
            <w:tcW w:type="dxa" w:w="326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almeno </w:t>
            </w:r>
            <w:r>
              <w:rPr>
                <w:rFonts w:ascii="Calibri" w:cs="Calibri" w:eastAsia="Calibri" w:hAnsi="Calibri"/>
                <w:b/>
                <w:bCs/>
                <w:sz w:val="18"/>
                <w:szCs w:val="18"/>
              </w:rPr>
              <w:t xml:space="preserve">10 giorni</w:t>
            </w:r>
            <w:r>
              <w:rPr>
                <w:rFonts w:ascii="Calibri" w:cs="Calibri" w:eastAsia="Calibri" w:hAnsi="Calibri"/>
                <w:b w:val="false"/>
                <w:bCs w:val="false"/>
                <w:sz w:val="18"/>
                <w:szCs w:val="18"/>
              </w:rPr>
              <w:t xml:space="preserve"> prima dell'udienza (art. 416), dimezzati se il giudice riduce i termini (art. 441-bis)</w:t>
            </w:r>
          </w:p>
        </w:tc>
        <w:tc>
          <w:tcPr>
            <w:tcW w:type="dxa" w:w="1725"/>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Decadenze per eccezioni, riconvenzionali, prove</w:t>
            </w:r>
          </w:p>
        </w:tc>
      </w:tr>
      <w:tr>
        <w:trPr>
          <w:cantSplit/>
        </w:trPr>
        <w:tc>
          <w:tcPr>
            <w:tcW w:type="dxa" w:w="138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Lavoratore reintegrato</w:t>
            </w:r>
          </w:p>
        </w:tc>
        <w:tc>
          <w:tcPr>
            <w:tcW w:type="dxa" w:w="3263"/>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Opzione per l'indennità di 15 mensilità</w:t>
            </w:r>
          </w:p>
        </w:tc>
        <w:tc>
          <w:tcPr>
            <w:tcW w:type="dxa" w:w="326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bCs/>
                <w:sz w:val="18"/>
                <w:szCs w:val="18"/>
              </w:rPr>
              <w:t xml:space="preserve">30 giorni</w:t>
            </w:r>
            <w:r>
              <w:rPr>
                <w:rFonts w:ascii="Calibri" w:cs="Calibri" w:eastAsia="Calibri" w:hAnsi="Calibri"/>
                <w:b w:val="false"/>
                <w:bCs w:val="false"/>
                <w:sz w:val="18"/>
                <w:szCs w:val="18"/>
              </w:rPr>
              <w:t xml:space="preserve"> dalla comunicazione del deposito della pronuncia o dall'invito a riprendere servizio, se anteriore (art. 2, comma 3, d.lgs. 23/2015; art. 18, terzo comma)</w:t>
            </w:r>
          </w:p>
        </w:tc>
        <w:tc>
          <w:tcPr>
            <w:tcW w:type="dxa" w:w="1725"/>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Perdita dell'opzione</w:t>
            </w:r>
          </w:p>
        </w:tc>
      </w:tr>
      <w:tr>
        <w:trPr>
          <w:cantSplit/>
        </w:trPr>
        <w:tc>
          <w:tcPr>
            <w:tcW w:type="dxa" w:w="138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Lavoratore reintegrato</w:t>
            </w:r>
          </w:p>
        </w:tc>
        <w:tc>
          <w:tcPr>
            <w:tcW w:type="dxa" w:w="3263"/>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Ripresa del servizio</w:t>
            </w:r>
          </w:p>
        </w:tc>
        <w:tc>
          <w:tcPr>
            <w:tcW w:type="dxa" w:w="326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bCs/>
                <w:sz w:val="18"/>
                <w:szCs w:val="18"/>
              </w:rPr>
              <w:t xml:space="preserve">30 giorni</w:t>
            </w:r>
            <w:r>
              <w:rPr>
                <w:rFonts w:ascii="Calibri" w:cs="Calibri" w:eastAsia="Calibri" w:hAnsi="Calibri"/>
                <w:b w:val="false"/>
                <w:bCs w:val="false"/>
                <w:sz w:val="18"/>
                <w:szCs w:val="18"/>
              </w:rPr>
              <w:t xml:space="preserve"> dall'invito, salvo opzione (art. 2, comma 1; art. 18, primo comma)</w:t>
            </w:r>
          </w:p>
        </w:tc>
        <w:tc>
          <w:tcPr>
            <w:tcW w:type="dxa" w:w="1725"/>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Rapporto risolto</w:t>
            </w:r>
          </w:p>
        </w:tc>
      </w:tr>
    </w:tbl>
    <w:p>
      <w:pPr>
        <w:spacing w:after="0" w:before="0" w:line="120"/>
      </w:pPr>
    </w:p>
    <w:p>
      <w:pPr>
        <w:pStyle w:val="Corpo"/>
        <w:keepNext w:val="false"/>
        <w:spacing w:after="100" w:line="264"/>
        <w:jc w:val="left"/>
      </w:pPr>
      <w:r>
        <w:rPr>
          <w:rFonts w:ascii="Calibri" w:cs="Calibri" w:eastAsia="Calibri" w:hAnsi="Calibri"/>
          <w:b/>
          <w:bCs/>
          <w:sz w:val="21"/>
          <w:szCs w:val="21"/>
        </w:rPr>
        <w:t xml:space="preserve">La sospensione feriale.</w:t>
      </w:r>
      <w:r>
        <w:rPr>
          <w:rFonts w:ascii="Calibri" w:cs="Calibri" w:eastAsia="Calibri" w:hAnsi="Calibri"/>
          <w:sz w:val="21"/>
          <w:szCs w:val="21"/>
        </w:rPr>
        <w:t xml:space="preserve"> L'art. 1 della l. 742/1969 sospende dal 1° al 31 agosto i «termini processuali»; l'art. 3 esclude dalla sospensione, in materia civile, le «controversie previste dagli articoli 429 e 459 del codice di procedura civile», che nel testo in vigore nel 1969 erano le </w:t>
      </w:r>
      <w:r>
        <w:rPr>
          <w:rFonts w:ascii="Calibri" w:cs="Calibri" w:eastAsia="Calibri" w:hAnsi="Calibri"/>
          <w:b/>
          <w:bCs/>
          <w:sz w:val="21"/>
          <w:szCs w:val="21"/>
        </w:rPr>
        <w:t xml:space="preserve">controversie individuali di lavoro</w:t>
      </w:r>
      <w:r>
        <w:rPr>
          <w:rFonts w:ascii="Calibri" w:cs="Calibri" w:eastAsia="Calibri" w:hAnsi="Calibri"/>
          <w:sz w:val="21"/>
          <w:szCs w:val="21"/>
        </w:rPr>
        <w:t xml:space="preserve"> e quelle di </w:t>
      </w:r>
      <w:r>
        <w:rPr>
          <w:rFonts w:ascii="Calibri" w:cs="Calibri" w:eastAsia="Calibri" w:hAnsi="Calibri"/>
          <w:b/>
          <w:bCs/>
          <w:sz w:val="21"/>
          <w:szCs w:val="21"/>
        </w:rPr>
        <w:t xml:space="preserve">previdenza e assistenza obbligatorie</w:t>
      </w:r>
      <w:r>
        <w:rPr>
          <w:rFonts w:ascii="Calibri" w:cs="Calibri" w:eastAsia="Calibri" w:hAnsi="Calibri"/>
          <w:sz w:val="21"/>
          <w:szCs w:val="21"/>
        </w:rPr>
        <w:t xml:space="preserve"> (testi in vigore fino all'11 dicembre 1973, letti su Normattiva). La legge non nomina i termini dell'art. 6 l. 604/1966, ma il risultato non cambia comunque li si qualifichi: il termine di sessanta giorni per l'impugnazione stragiudiziale non è un termine processuale, e l'art. 1 l. 742/1969 sospende solo quelli; anche i termini processuali delle controversie di lavoro sono esclusi dalla sospensione (art. 3). </w:t>
      </w:r>
      <w:r>
        <w:rPr>
          <w:rFonts w:ascii="Calibri" w:cs="Calibri" w:eastAsia="Calibri" w:hAnsi="Calibri"/>
          <w:b/>
          <w:bCs/>
          <w:sz w:val="21"/>
          <w:szCs w:val="21"/>
        </w:rPr>
        <w:t xml:space="preserve">Regola operativa: contate sempre agosto, come se nessuna sospensione esistesse.</w:t>
      </w:r>
      <w:r>
        <w:rPr>
          <w:rFonts w:ascii="Calibri" w:cs="Calibri" w:eastAsia="Calibri" w:hAnsi="Calibri"/>
          <w:sz w:val="21"/>
          <w:szCs w:val="21"/>
        </w:rPr>
        <w:t xml:space="preserve"> Se un giudice la ritenesse applicabile e non l'avete usata, non avete perso nulla; se l'avete usata e non si applica, avete perso la causa.</w:t>
      </w:r>
    </w:p>
    <w:p>
      <w:pPr>
        <w:pStyle w:val="Corpo"/>
        <w:keepNext w:val="false"/>
        <w:spacing w:after="100" w:line="264"/>
        <w:jc w:val="left"/>
      </w:pPr>
      <w:r>
        <w:rPr>
          <w:rFonts w:ascii="Calibri" w:cs="Calibri" w:eastAsia="Calibri" w:hAnsi="Calibri"/>
          <w:b/>
          <w:bCs/>
          <w:sz w:val="21"/>
          <w:szCs w:val="21"/>
        </w:rPr>
        <w:t xml:space="preserve">Esempio su date reali.</w:t>
      </w:r>
      <w:r>
        <w:rPr>
          <w:rFonts w:ascii="Calibri" w:cs="Calibri" w:eastAsia="Calibri" w:hAnsi="Calibri"/>
          <w:sz w:val="21"/>
          <w:szCs w:val="21"/>
        </w:rPr>
        <w:t xml:space="preserve"> Lettera di licenziamento ricevuta </w:t>
      </w:r>
      <w:r>
        <w:rPr>
          <w:rFonts w:ascii="Calibri" w:cs="Calibri" w:eastAsia="Calibri" w:hAnsi="Calibri"/>
          <w:b/>
          <w:bCs/>
          <w:sz w:val="21"/>
          <w:szCs w:val="21"/>
        </w:rPr>
        <w:t xml:space="preserve">venerdì 9 luglio 2027</w:t>
      </w:r>
      <w:r>
        <w:rPr>
          <w:rFonts w:ascii="Calibri" w:cs="Calibri" w:eastAsia="Calibri" w:hAnsi="Calibri"/>
          <w:sz w:val="21"/>
          <w:szCs w:val="21"/>
        </w:rPr>
        <w:t xml:space="preserve">.</w:t>
      </w:r>
    </w:p>
    <w:p>
      <w:pPr>
        <w:pStyle w:val="Corpo"/>
        <w:numPr>
          <w:ilvl w:val="0"/>
          <w:numId w:val="4"/>
        </w:numPr>
        <w:spacing w:after="60" w:line="264"/>
        <w:jc w:val="left"/>
      </w:pPr>
      <w:r>
        <w:rPr>
          <w:rFonts w:ascii="Calibri" w:cs="Calibri" w:eastAsia="Calibri" w:hAnsi="Calibri"/>
          <w:b/>
          <w:bCs/>
          <w:sz w:val="21"/>
          <w:szCs w:val="21"/>
        </w:rPr>
        <w:t xml:space="preserve">60 giorni</w:t>
      </w:r>
      <w:r>
        <w:rPr>
          <w:rFonts w:ascii="Calibri" w:cs="Calibri" w:eastAsia="Calibri" w:hAnsi="Calibri"/>
          <w:sz w:val="21"/>
          <w:szCs w:val="21"/>
        </w:rPr>
        <w:t xml:space="preserve">, agosto compreso: impugnazione da far pervenire entro </w:t>
      </w:r>
      <w:r>
        <w:rPr>
          <w:rFonts w:ascii="Calibri" w:cs="Calibri" w:eastAsia="Calibri" w:hAnsi="Calibri"/>
          <w:b/>
          <w:bCs/>
          <w:sz w:val="21"/>
          <w:szCs w:val="21"/>
        </w:rPr>
        <w:t xml:space="preserve">martedì 7 settembre 2027</w:t>
      </w:r>
      <w:r>
        <w:rPr>
          <w:rFonts w:ascii="Calibri" w:cs="Calibri" w:eastAsia="Calibri" w:hAnsi="Calibri"/>
          <w:sz w:val="21"/>
          <w:szCs w:val="21"/>
        </w:rPr>
        <w:t xml:space="preserve">. (Chi applicasse la sospensione feriale conterebbe 22 giorni a luglio e gli altri 38 dal 1° settembre, arrivando a venerdì 8 ottobre 2027: è la trappola.)</w:t>
      </w:r>
    </w:p>
    <w:p>
      <w:pPr>
        <w:pStyle w:val="Corpo"/>
        <w:numPr>
          <w:ilvl w:val="0"/>
          <w:numId w:val="4"/>
        </w:numPr>
        <w:spacing w:after="60" w:line="264"/>
        <w:jc w:val="left"/>
      </w:pPr>
      <w:r>
        <w:rPr>
          <w:rFonts w:ascii="Calibri" w:cs="Calibri" w:eastAsia="Calibri" w:hAnsi="Calibri"/>
          <w:sz w:val="21"/>
          <w:szCs w:val="21"/>
        </w:rPr>
        <w:t xml:space="preserve">Impugnazione inviata e consegnata via PEC </w:t>
      </w:r>
      <w:r>
        <w:rPr>
          <w:rFonts w:ascii="Calibri" w:cs="Calibri" w:eastAsia="Calibri" w:hAnsi="Calibri"/>
          <w:b/>
          <w:bCs/>
          <w:sz w:val="21"/>
          <w:szCs w:val="21"/>
        </w:rPr>
        <w:t xml:space="preserve">mercoledì 21 luglio 2027</w:t>
      </w:r>
      <w:r>
        <w:rPr>
          <w:rFonts w:ascii="Calibri" w:cs="Calibri" w:eastAsia="Calibri" w:hAnsi="Calibri"/>
          <w:sz w:val="21"/>
          <w:szCs w:val="21"/>
        </w:rPr>
        <w:t xml:space="preserve">. La norma dice «successivo termine» senza indicare il giorno da cui si contano i 180: contateli dal giorno più anticipato possibile, cioè dall'invio dell'impugnazione. </w:t>
      </w:r>
      <w:r>
        <w:rPr>
          <w:rFonts w:ascii="Calibri" w:cs="Calibri" w:eastAsia="Calibri" w:hAnsi="Calibri"/>
          <w:b/>
          <w:bCs/>
          <w:sz w:val="21"/>
          <w:szCs w:val="21"/>
        </w:rPr>
        <w:t xml:space="preserve">180 giorni da 21 luglio 2027 = lunedì 17 gennaio 2028</w:t>
      </w:r>
      <w:r>
        <w:rPr>
          <w:rFonts w:ascii="Calibri" w:cs="Calibri" w:eastAsia="Calibri" w:hAnsi="Calibri"/>
          <w:sz w:val="21"/>
          <w:szCs w:val="21"/>
        </w:rPr>
        <w:t xml:space="preserve">: ricorso o richiesta di conciliazione entro quella data, e meglio prima.</w:t>
      </w:r>
    </w:p>
    <w:p>
      <w:pPr>
        <w:pStyle w:val="Corpo"/>
        <w:numPr>
          <w:ilvl w:val="0"/>
          <w:numId w:val="4"/>
        </w:numPr>
        <w:spacing w:after="60" w:line="264"/>
        <w:jc w:val="left"/>
      </w:pPr>
      <w:r>
        <w:rPr>
          <w:rFonts w:ascii="Calibri" w:cs="Calibri" w:eastAsia="Calibri" w:hAnsi="Calibri"/>
          <w:sz w:val="21"/>
          <w:szCs w:val="21"/>
        </w:rPr>
        <w:t xml:space="preserve">Dalla consegna dell'impugnazione (21 luglio 2027) decorrono i </w:t>
      </w:r>
      <w:r>
        <w:rPr>
          <w:rFonts w:ascii="Calibri" w:cs="Calibri" w:eastAsia="Calibri" w:hAnsi="Calibri"/>
          <w:b/>
          <w:bCs/>
          <w:sz w:val="21"/>
          <w:szCs w:val="21"/>
        </w:rPr>
        <w:t xml:space="preserve">15 giorni</w:t>
      </w:r>
      <w:r>
        <w:rPr>
          <w:rFonts w:ascii="Calibri" w:cs="Calibri" w:eastAsia="Calibri" w:hAnsi="Calibri"/>
          <w:sz w:val="21"/>
          <w:szCs w:val="21"/>
        </w:rPr>
        <w:t xml:space="preserve"> in cui il datore può revocare il licenziamento: fino a </w:t>
      </w:r>
      <w:r>
        <w:rPr>
          <w:rFonts w:ascii="Calibri" w:cs="Calibri" w:eastAsia="Calibri" w:hAnsi="Calibri"/>
          <w:b/>
          <w:bCs/>
          <w:sz w:val="21"/>
          <w:szCs w:val="21"/>
        </w:rPr>
        <w:t xml:space="preserve">giovedì 5 agosto 2027</w:t>
      </w:r>
      <w:r>
        <w:rPr>
          <w:rFonts w:ascii="Calibri" w:cs="Calibri" w:eastAsia="Calibri" w:hAnsi="Calibri"/>
          <w:sz w:val="21"/>
          <w:szCs w:val="21"/>
        </w:rPr>
        <w:t xml:space="preserve">.</w:t>
      </w:r>
    </w:p>
    <w:p>
      <w:pPr>
        <w:pStyle w:val="Corpo"/>
        <w:numPr>
          <w:ilvl w:val="0"/>
          <w:numId w:val="4"/>
        </w:numPr>
        <w:spacing w:after="60" w:line="264"/>
        <w:jc w:val="left"/>
      </w:pPr>
      <w:r>
        <w:rPr>
          <w:rFonts w:ascii="Calibri" w:cs="Calibri" w:eastAsia="Calibri" w:hAnsi="Calibri"/>
          <w:sz w:val="21"/>
          <w:szCs w:val="21"/>
        </w:rPr>
        <w:t xml:space="preserve">Se il lavoratore fosse stato incapace alla ricezione: </w:t>
      </w:r>
      <w:r>
        <w:rPr>
          <w:rFonts w:ascii="Calibri" w:cs="Calibri" w:eastAsia="Calibri" w:hAnsi="Calibri"/>
          <w:b/>
          <w:bCs/>
          <w:sz w:val="21"/>
          <w:szCs w:val="21"/>
        </w:rPr>
        <w:t xml:space="preserve">240 giorni da 9 luglio 2027 = domenica 5 marzo 2028</w:t>
      </w:r>
      <w:r>
        <w:rPr>
          <w:rFonts w:ascii="Calibri" w:cs="Calibri" w:eastAsia="Calibri" w:hAnsi="Calibri"/>
          <w:sz w:val="21"/>
          <w:szCs w:val="21"/>
        </w:rPr>
        <w:t xml:space="preserve">. Non contate su proroghe: depositate entro </w:t>
      </w:r>
      <w:r>
        <w:rPr>
          <w:rFonts w:ascii="Calibri" w:cs="Calibri" w:eastAsia="Calibri" w:hAnsi="Calibri"/>
          <w:b/>
          <w:bCs/>
          <w:sz w:val="21"/>
          <w:szCs w:val="21"/>
        </w:rPr>
        <w:t xml:space="preserve">venerdì 3 marzo 2028</w:t>
      </w:r>
      <w:r>
        <w:rPr>
          <w:rFonts w:ascii="Calibri" w:cs="Calibri" w:eastAsia="Calibri" w:hAnsi="Calibri"/>
          <w:sz w:val="21"/>
          <w:szCs w:val="21"/>
        </w:rPr>
        <w:t xml:space="preserve">.</w:t>
      </w:r>
    </w:p>
    <w:p>
      <w:pPr>
        <w:pStyle w:val="Corpo"/>
        <w:numPr>
          <w:ilvl w:val="0"/>
          <w:numId w:val="4"/>
        </w:numPr>
        <w:spacing w:after="60" w:line="264"/>
        <w:jc w:val="left"/>
      </w:pPr>
      <w:r>
        <w:rPr>
          <w:rFonts w:ascii="Calibri" w:cs="Calibri" w:eastAsia="Calibri" w:hAnsi="Calibri"/>
          <w:sz w:val="21"/>
          <w:szCs w:val="21"/>
        </w:rPr>
        <w:t xml:space="preserve">Conciliazione richiesta e rifiutata con comunicazione del 10 novembre 2027: ricorso entro </w:t>
      </w:r>
      <w:r>
        <w:rPr>
          <w:rFonts w:ascii="Calibri" w:cs="Calibri" w:eastAsia="Calibri" w:hAnsi="Calibri"/>
          <w:b/>
          <w:bCs/>
          <w:sz w:val="21"/>
          <w:szCs w:val="21"/>
        </w:rPr>
        <w:t xml:space="preserve">60 giorni dal rifiuto</w:t>
      </w:r>
      <w:r>
        <w:rPr>
          <w:rFonts w:ascii="Calibri" w:cs="Calibri" w:eastAsia="Calibri" w:hAnsi="Calibri"/>
          <w:sz w:val="21"/>
          <w:szCs w:val="21"/>
        </w:rPr>
        <w:t xml:space="preserve"> = domenica 9 gennaio 2028; depositate entro </w:t>
      </w:r>
      <w:r>
        <w:rPr>
          <w:rFonts w:ascii="Calibri" w:cs="Calibri" w:eastAsia="Calibri" w:hAnsi="Calibri"/>
          <w:b/>
          <w:bCs/>
          <w:sz w:val="21"/>
          <w:szCs w:val="21"/>
        </w:rPr>
        <w:t xml:space="preserve">venerdì 7 gennaio 2028</w:t>
      </w:r>
      <w:r>
        <w:rPr>
          <w:rFonts w:ascii="Calibri" w:cs="Calibri" w:eastAsia="Calibri" w:hAnsi="Calibri"/>
          <w:sz w:val="21"/>
          <w:szCs w:val="21"/>
        </w:rPr>
        <w:t xml:space="preserve">.</w:t>
      </w:r>
    </w:p>
    <w:p>
      <w:pPr>
        <w:pStyle w:val="Heading2"/>
      </w:pPr>
      <w:r>
        <w:rPr>
          <w:rFonts w:ascii="Georgia" w:cs="Georgia" w:eastAsia="Georgia" w:hAnsi="Georgia"/>
          <w:b/>
          <w:bCs/>
        </w:rPr>
        <w:t xml:space="preserve">4. Costi</w:t>
      </w:r>
    </w:p>
    <w:p>
      <w:pPr>
        <w:pStyle w:val="Corpo"/>
        <w:keepNext w:val="false"/>
        <w:spacing w:after="100" w:line="264"/>
        <w:jc w:val="left"/>
      </w:pPr>
      <w:r>
        <w:rPr>
          <w:rFonts w:ascii="Calibri" w:cs="Calibri" w:eastAsia="Calibri" w:hAnsi="Calibri"/>
          <w:b/>
          <w:bCs/>
          <w:sz w:val="21"/>
          <w:szCs w:val="21"/>
        </w:rPr>
        <w:t xml:space="preserve">Lettera di impugnazione:</w:t>
      </w:r>
      <w:r>
        <w:rPr>
          <w:rFonts w:ascii="Calibri" w:cs="Calibri" w:eastAsia="Calibri" w:hAnsi="Calibri"/>
          <w:sz w:val="21"/>
          <w:szCs w:val="21"/>
        </w:rPr>
        <w:t xml:space="preserve"> nessun costo di giustizia.</w:t>
      </w:r>
    </w:p>
    <w:p>
      <w:pPr>
        <w:pStyle w:val="Corpo"/>
        <w:keepNext w:val="false"/>
        <w:spacing w:after="100" w:line="264"/>
        <w:jc w:val="left"/>
      </w:pPr>
      <w:r>
        <w:rPr>
          <w:rFonts w:ascii="Calibri" w:cs="Calibri" w:eastAsia="Calibri" w:hAnsi="Calibri"/>
          <w:b/>
          <w:bCs/>
          <w:sz w:val="21"/>
          <w:szCs w:val="21"/>
        </w:rPr>
        <w:t xml:space="preserve">Ricorso al giudice del lavoro: contributo unificato</w:t>
      </w:r>
      <w:r>
        <w:rPr>
          <w:rFonts w:ascii="Calibri" w:cs="Calibri" w:eastAsia="Calibri" w:hAnsi="Calibri"/>
          <w:sz w:val="21"/>
          <w:szCs w:val="21"/>
        </w:rPr>
        <w:t xml:space="preserve"> (d.P.R. 115/2002, importi verificati):</w:t>
      </w:r>
    </w:p>
    <w:tbl>
      <w:tblPr>
        <w:tblW w:type="dxa" w:w="9638"/>
        <w:tblBorders>
          <w:top w:val="single" w:color="D9DAD2" w:sz="4"/>
          <w:left w:val="none" w:color="FFFFFF" w:sz="0"/>
          <w:bottom w:val="single" w:color="D9DAD2" w:sz="4"/>
          <w:right w:val="none" w:color="FFFFFF" w:sz="0"/>
          <w:insideH w:val="single" w:color="D9DAD2" w:sz="4"/>
          <w:insideV w:val="none" w:color="FFFFFF" w:sz="0"/>
        </w:tblBorders>
        <w:tblLayout w:type="fixed"/>
      </w:tblPr>
      <w:tblGrid>
        <w:gridCol w:w="4819"/>
        <w:gridCol w:w="4819"/>
      </w:tblGrid>
      <w:tr>
        <w:trPr>
          <w:cantSplit/>
          <w:tblHeader/>
        </w:trPr>
        <w:tc>
          <w:tcPr>
            <w:tcW w:type="dxa" w:w="4819"/>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Situazione</w:t>
            </w:r>
          </w:p>
        </w:tc>
        <w:tc>
          <w:tcPr>
            <w:tcW w:type="dxa" w:w="4819"/>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Contributo</w:t>
            </w:r>
          </w:p>
        </w:tc>
      </w:tr>
      <w:tr>
        <w:trPr>
          <w:cantSplit/>
        </w:trPr>
        <w:tc>
          <w:tcPr>
            <w:tcW w:type="dxa" w:w="481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Lavoratore con reddito imponibile IRPEF, risultante dall'ultima dichiarazione, </w:t>
            </w:r>
            <w:r>
              <w:rPr>
                <w:rFonts w:ascii="Calibri" w:cs="Calibri" w:eastAsia="Calibri" w:hAnsi="Calibri"/>
                <w:b/>
                <w:bCs/>
                <w:sz w:val="18"/>
                <w:szCs w:val="18"/>
              </w:rPr>
              <w:t xml:space="preserve">non superiore a tre volte</w:t>
            </w:r>
            <w:r>
              <w:rPr>
                <w:rFonts w:ascii="Calibri" w:cs="Calibri" w:eastAsia="Calibri" w:hAnsi="Calibri"/>
                <w:b w:val="false"/>
                <w:bCs w:val="false"/>
                <w:sz w:val="18"/>
                <w:szCs w:val="18"/>
              </w:rPr>
              <w:t xml:space="preserve"> l'importo dell'art. 76 (oggi 3 × 13.659,64 = </w:t>
            </w:r>
            <w:r>
              <w:rPr>
                <w:rFonts w:ascii="Calibri" w:cs="Calibri" w:eastAsia="Calibri" w:hAnsi="Calibri"/>
                <w:b/>
                <w:bCs/>
                <w:sz w:val="18"/>
                <w:szCs w:val="18"/>
              </w:rPr>
              <w:t xml:space="preserve">40.978,92 euro</w:t>
            </w:r>
            <w:r>
              <w:rPr>
                <w:rFonts w:ascii="Calibri" w:cs="Calibri" w:eastAsia="Calibri" w:hAnsi="Calibri"/>
                <w:b w:val="false"/>
                <w:bCs w:val="false"/>
                <w:sz w:val="18"/>
                <w:szCs w:val="18"/>
              </w:rPr>
              <w:t xml:space="preserve">)</w:t>
            </w:r>
          </w:p>
        </w:tc>
        <w:tc>
          <w:tcPr>
            <w:tcW w:type="dxa" w:w="481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bCs/>
                <w:sz w:val="18"/>
                <w:szCs w:val="18"/>
              </w:rPr>
              <w:t xml:space="preserve">Esente</w:t>
            </w:r>
            <w:r>
              <w:rPr>
                <w:rFonts w:ascii="Calibri" w:cs="Calibri" w:eastAsia="Calibri" w:hAnsi="Calibri"/>
                <w:b w:val="false"/>
                <w:bCs w:val="false"/>
                <w:sz w:val="18"/>
                <w:szCs w:val="18"/>
              </w:rPr>
              <w:t xml:space="preserve"> (art. 9, comma 1-bis, a contrario; art. 76, comma 1, aggiornato a 13.659,64 euro dal d.m. 22 aprile 2025, G.U. n. 159 dell'11/7/2025)</w:t>
            </w:r>
          </w:p>
        </w:tc>
      </w:tr>
      <w:tr>
        <w:trPr>
          <w:cantSplit/>
        </w:trPr>
        <w:tc>
          <w:tcPr>
            <w:tcW w:type="dxa" w:w="481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Reddito superiore</w:t>
            </w:r>
          </w:p>
        </w:tc>
        <w:tc>
          <w:tcPr>
            <w:tcW w:type="dxa" w:w="481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Contributo dell'art. 13, comma 1, </w:t>
            </w:r>
            <w:r>
              <w:rPr>
                <w:rFonts w:ascii="Calibri" w:cs="Calibri" w:eastAsia="Calibri" w:hAnsi="Calibri"/>
                <w:b/>
                <w:bCs/>
                <w:sz w:val="18"/>
                <w:szCs w:val="18"/>
              </w:rPr>
              <w:t xml:space="preserve">ridotto alla metà</w:t>
            </w:r>
            <w:r>
              <w:rPr>
                <w:rFonts w:ascii="Calibri" w:cs="Calibri" w:eastAsia="Calibri" w:hAnsi="Calibri"/>
                <w:b w:val="false"/>
                <w:bCs w:val="false"/>
                <w:sz w:val="18"/>
                <w:szCs w:val="18"/>
              </w:rPr>
              <w:t xml:space="preserve"> (art. 13, comma 3; art. 9, comma 1-bis)</w:t>
            </w:r>
          </w:p>
        </w:tc>
      </w:tr>
      <w:tr>
        <w:trPr>
          <w:cantSplit/>
        </w:trPr>
        <w:tc>
          <w:tcPr>
            <w:tcW w:type="dxa" w:w="481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Causa con domanda di reintegrazione (valore indeterminabile)</w:t>
            </w:r>
          </w:p>
        </w:tc>
        <w:tc>
          <w:tcPr>
            <w:tcW w:type="dxa" w:w="481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518 euro (art. 13, comma 1, lett. d) → </w:t>
            </w:r>
            <w:r>
              <w:rPr>
                <w:rFonts w:ascii="Calibri" w:cs="Calibri" w:eastAsia="Calibri" w:hAnsi="Calibri"/>
                <w:b/>
                <w:bCs/>
                <w:sz w:val="18"/>
                <w:szCs w:val="18"/>
              </w:rPr>
              <w:t xml:space="preserve">259 euro</w:t>
            </w:r>
          </w:p>
        </w:tc>
      </w:tr>
      <w:tr>
        <w:trPr>
          <w:cantSplit/>
        </w:trPr>
        <w:tc>
          <w:tcPr>
            <w:tcW w:type="dxa" w:w="481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Causa di valore determinato</w:t>
            </w:r>
          </w:p>
        </w:tc>
        <w:tc>
          <w:tcPr>
            <w:tcW w:type="dxa" w:w="481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metà dello scaglione: fino a 1.100 → 21,50; 1.100-5.200 → 49; 5.200-26.000 → 118,50; 26.000-52.000 → 259; 52.000-260.000 → 379,50; 260.000-520.000 → 607; oltre 520.000 → 843</w:t>
            </w:r>
          </w:p>
        </w:tc>
      </w:tr>
      <w:tr>
        <w:trPr>
          <w:cantSplit/>
        </w:trPr>
        <w:tc>
          <w:tcPr>
            <w:tcW w:type="dxa" w:w="481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Omissione del codice fiscale della parte nell'atto introduttivo</w:t>
            </w:r>
          </w:p>
        </w:tc>
        <w:tc>
          <w:tcPr>
            <w:tcW w:type="dxa" w:w="481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contributo </w:t>
            </w:r>
            <w:r>
              <w:rPr>
                <w:rFonts w:ascii="Calibri" w:cs="Calibri" w:eastAsia="Calibri" w:hAnsi="Calibri"/>
                <w:b/>
                <w:bCs/>
                <w:sz w:val="18"/>
                <w:szCs w:val="18"/>
              </w:rPr>
              <w:t xml:space="preserve">aumentato della metà</w:t>
            </w:r>
            <w:r>
              <w:rPr>
                <w:rFonts w:ascii="Calibri" w:cs="Calibri" w:eastAsia="Calibri" w:hAnsi="Calibri"/>
                <w:b w:val="false"/>
                <w:bCs w:val="false"/>
                <w:sz w:val="18"/>
                <w:szCs w:val="18"/>
              </w:rPr>
              <w:t xml:space="preserve"> (art. 13, comma 3-bis)</w:t>
            </w:r>
          </w:p>
        </w:tc>
      </w:tr>
      <w:tr>
        <w:trPr>
          <w:cantSplit/>
        </w:trPr>
        <w:tc>
          <w:tcPr>
            <w:tcW w:type="dxa" w:w="481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Mancata dichiarazione di valore nelle conclusioni</w:t>
            </w:r>
          </w:p>
        </w:tc>
        <w:tc>
          <w:tcPr>
            <w:tcW w:type="dxa" w:w="481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il processo si presume del valore della lett. g) (art. 13, comma 6)</w:t>
            </w:r>
          </w:p>
        </w:tc>
      </w:tr>
    </w:tbl>
    <w:p>
      <w:pPr>
        <w:spacing w:after="0" w:before="0" w:line="120"/>
      </w:pPr>
    </w:p>
    <w:p>
      <w:pPr>
        <w:pStyle w:val="Corpo"/>
        <w:numPr>
          <w:ilvl w:val="0"/>
          <w:numId w:val="4"/>
        </w:numPr>
        <w:spacing w:after="60" w:line="264"/>
        <w:jc w:val="left"/>
      </w:pPr>
      <w:r>
        <w:rPr>
          <w:rFonts w:ascii="Calibri" w:cs="Calibri" w:eastAsia="Calibri" w:hAnsi="Calibri"/>
          <w:sz w:val="21"/>
          <w:szCs w:val="21"/>
        </w:rPr>
        <w:t xml:space="preserve">La dichiarazione del </w:t>
      </w:r>
      <w:r>
        <w:rPr>
          <w:rFonts w:ascii="Calibri" w:cs="Calibri" w:eastAsia="Calibri" w:hAnsi="Calibri"/>
          <w:b/>
          <w:bCs/>
          <w:sz w:val="21"/>
          <w:szCs w:val="21"/>
        </w:rPr>
        <w:t xml:space="preserve">valore</w:t>
      </w:r>
      <w:r>
        <w:rPr>
          <w:rFonts w:ascii="Calibri" w:cs="Calibri" w:eastAsia="Calibri" w:hAnsi="Calibri"/>
          <w:sz w:val="21"/>
          <w:szCs w:val="21"/>
        </w:rPr>
        <w:t xml:space="preserve"> va resa </w:t>
      </w:r>
      <w:r>
        <w:rPr>
          <w:rFonts w:ascii="Calibri" w:cs="Calibri" w:eastAsia="Calibri" w:hAnsi="Calibri"/>
          <w:b/>
          <w:bCs/>
          <w:sz w:val="21"/>
          <w:szCs w:val="21"/>
        </w:rPr>
        <w:t xml:space="preserve">nelle conclusioni</w:t>
      </w:r>
      <w:r>
        <w:rPr>
          <w:rFonts w:ascii="Calibri" w:cs="Calibri" w:eastAsia="Calibri" w:hAnsi="Calibri"/>
          <w:sz w:val="21"/>
          <w:szCs w:val="21"/>
        </w:rPr>
        <w:t xml:space="preserve"> del ricorso (art. 14, comma 2), e lì va indicata anche la </w:t>
      </w:r>
      <w:r>
        <w:rPr>
          <w:rFonts w:ascii="Calibri" w:cs="Calibri" w:eastAsia="Calibri" w:hAnsi="Calibri"/>
          <w:b/>
          <w:bCs/>
          <w:sz w:val="21"/>
          <w:szCs w:val="21"/>
        </w:rPr>
        <w:t xml:space="preserve">ragione dell'esenzione</w:t>
      </w:r>
      <w:r>
        <w:rPr>
          <w:rFonts w:ascii="Calibri" w:cs="Calibri" w:eastAsia="Calibri" w:hAnsi="Calibri"/>
          <w:sz w:val="21"/>
          <w:szCs w:val="21"/>
        </w:rPr>
        <w:t xml:space="preserve"> (art. 10, comma 6). In pratica, allegate l'autodichiarazione del reddito: la norma prevede la dichiarazione, la prassi delle cancellerie richiede di solito il documento.</w:t>
      </w:r>
    </w:p>
    <w:p>
      <w:pPr>
        <w:pStyle w:val="Corpo"/>
        <w:numPr>
          <w:ilvl w:val="0"/>
          <w:numId w:val="4"/>
        </w:numPr>
        <w:spacing w:after="60" w:line="264"/>
        <w:jc w:val="left"/>
      </w:pPr>
      <w:r>
        <w:rPr>
          <w:rFonts w:ascii="Calibri" w:cs="Calibri" w:eastAsia="Calibri" w:hAnsi="Calibri"/>
          <w:sz w:val="21"/>
          <w:szCs w:val="21"/>
        </w:rPr>
        <w:t xml:space="preserve">Sul reddito: l'art. 9, comma 1-bis, parla del reddito delle «parti» e non richiama espressamente il cumulo familiare dell'art. 76, comma 2. Verificate come lo applica la vostra cancelleria.</w:t>
      </w:r>
    </w:p>
    <w:p>
      <w:pPr>
        <w:pStyle w:val="Corpo"/>
        <w:numPr>
          <w:ilvl w:val="0"/>
          <w:numId w:val="4"/>
        </w:numPr>
        <w:spacing w:after="60" w:line="264"/>
        <w:jc w:val="left"/>
      </w:pPr>
      <w:r>
        <w:rPr>
          <w:rFonts w:ascii="Calibri" w:cs="Calibri" w:eastAsia="Calibri" w:hAnsi="Calibri"/>
          <w:sz w:val="21"/>
          <w:szCs w:val="21"/>
        </w:rPr>
        <w:t xml:space="preserve">Nel testo in vigore dal 1° gennaio 2025, fuori dai casi di esenzione, «la causa non può essere iscritta a ruolo» se non è versato almeno l'importo dell'art. 13, comma 1, lett. a), «o il minor contributo dovuto per legge» (art. 14, comma 3.1).</w:t>
      </w:r>
    </w:p>
    <w:p>
      <w:pPr>
        <w:pStyle w:val="Corpo"/>
        <w:numPr>
          <w:ilvl w:val="0"/>
          <w:numId w:val="4"/>
        </w:numPr>
        <w:spacing w:after="60" w:line="264"/>
        <w:jc w:val="left"/>
      </w:pPr>
      <w:r>
        <w:rPr>
          <w:rFonts w:ascii="Calibri" w:cs="Calibri" w:eastAsia="Calibri" w:hAnsi="Calibri"/>
          <w:b/>
          <w:bCs/>
          <w:sz w:val="21"/>
          <w:szCs w:val="21"/>
        </w:rPr>
        <w:t xml:space="preserve">Anticipazione forfettaria di 27 euro (art. 30):</w:t>
      </w:r>
      <w:r>
        <w:rPr>
          <w:rFonts w:ascii="Calibri" w:cs="Calibri" w:eastAsia="Calibri" w:hAnsi="Calibri"/>
          <w:sz w:val="21"/>
          <w:szCs w:val="21"/>
        </w:rPr>
        <w:t xml:space="preserve"> non è dovuta nei processi «previsti dall'articolo unico della legge 2 aprile 1958, n. 319» (le cause di lavoro). Dal 1° gennaio 2027 la l. 319/1958 è abrogata, ma la stessa esenzione è riprodotta nell'</w:t>
      </w:r>
      <w:r>
        <w:rPr>
          <w:rFonts w:ascii="Calibri" w:cs="Calibri" w:eastAsia="Calibri" w:hAnsi="Calibri"/>
          <w:b/>
          <w:bCs/>
          <w:sz w:val="21"/>
          <w:szCs w:val="21"/>
        </w:rPr>
        <w:t xml:space="preserve">art. 186 del d.lgs. 123/2025</w:t>
      </w:r>
      <w:r>
        <w:rPr>
          <w:rFonts w:ascii="Calibri" w:cs="Calibri" w:eastAsia="Calibri" w:hAnsi="Calibri"/>
          <w:sz w:val="21"/>
          <w:szCs w:val="21"/>
        </w:rPr>
        <w:t xml:space="preserve"> (testo unico dell'imposta di registro), e l'art. 204, comma 2, del testo unico stabilisce che i rinvii alle disposizioni abrogate si intendono fatti alle corrispondenti disposizioni del testo unico: il rinvio dell'art. 30 (e quello dell'art. 10, comma 6-bis) si legge quindi come rinvio all'art. 186. Nelle conclusioni, dal 2027, citate entrambe le norme (art. 186 d.lgs. 123/2025, già l. 319/1958).</w:t>
      </w:r>
    </w:p>
    <w:p>
      <w:pPr>
        <w:pStyle w:val="Heading2"/>
      </w:pPr>
      <w:r>
        <w:rPr>
          <w:rFonts w:ascii="Georgia" w:cs="Georgia" w:eastAsia="Georgia" w:hAnsi="Georgia"/>
          <w:b/>
          <w:bCs/>
        </w:rPr>
        <w:t xml:space="preserve">5. Lista di controllo</w:t>
      </w:r>
    </w:p>
    <w:p>
      <w:pPr>
        <w:pStyle w:val="Corpo"/>
        <w:keepNext/>
        <w:spacing w:after="100" w:before="100" w:line="264"/>
        <w:jc w:val="left"/>
      </w:pPr>
      <w:r>
        <w:rPr>
          <w:rFonts w:ascii="Calibri" w:cs="Calibri" w:eastAsia="Calibri" w:hAnsi="Calibri"/>
          <w:b/>
          <w:bCs/>
          <w:sz w:val="21"/>
          <w:szCs w:val="21"/>
        </w:rPr>
        <w:t xml:space="preserve">Prima della lettera</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sz w:val="21"/>
          <w:szCs w:val="21"/>
        </w:rPr>
        <w:t xml:space="preserve">Data di </w:t>
      </w:r>
      <w:r>
        <w:rPr>
          <w:rFonts w:ascii="Calibri" w:cs="Calibri" w:eastAsia="Calibri" w:hAnsi="Calibri"/>
          <w:b/>
          <w:bCs/>
          <w:sz w:val="21"/>
          <w:szCs w:val="21"/>
        </w:rPr>
        <w:t xml:space="preserve">ricezione</w:t>
      </w:r>
      <w:r>
        <w:rPr>
          <w:rFonts w:ascii="Calibri" w:cs="Calibri" w:eastAsia="Calibri" w:hAnsi="Calibri"/>
          <w:sz w:val="21"/>
          <w:szCs w:val="21"/>
        </w:rPr>
        <w:t xml:space="preserve"> della lettera di licenziamento (busta, ricevuta, PEC, consegna a mano con firma) e, se separata, della comunicazione dei motivi.</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sz w:val="21"/>
          <w:szCs w:val="21"/>
        </w:rPr>
        <w:t xml:space="preserve">Data di </w:t>
      </w:r>
      <w:r>
        <w:rPr>
          <w:rFonts w:ascii="Calibri" w:cs="Calibri" w:eastAsia="Calibri" w:hAnsi="Calibri"/>
          <w:b/>
          <w:bCs/>
          <w:sz w:val="21"/>
          <w:szCs w:val="21"/>
        </w:rPr>
        <w:t xml:space="preserve">assunzione</w:t>
      </w:r>
      <w:r>
        <w:rPr>
          <w:rFonts w:ascii="Calibri" w:cs="Calibri" w:eastAsia="Calibri" w:hAnsi="Calibri"/>
          <w:sz w:val="21"/>
          <w:szCs w:val="21"/>
        </w:rPr>
        <w:t xml:space="preserve"> (prima o dal 7 marzo 2015?), qualifica (operaio, impiegato, quadro, dirigente), eventuali conversioni o trasformazioni successive (art. 1, commi 2-3, d.lgs. 23/2015).</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b/>
          <w:bCs/>
          <w:sz w:val="21"/>
          <w:szCs w:val="21"/>
        </w:rPr>
        <w:t xml:space="preserve">Dimensione</w:t>
      </w:r>
      <w:r>
        <w:rPr>
          <w:rFonts w:ascii="Calibri" w:cs="Calibri" w:eastAsia="Calibri" w:hAnsi="Calibri"/>
          <w:sz w:val="21"/>
          <w:szCs w:val="21"/>
        </w:rPr>
        <w:t xml:space="preserve"> del datore: più di 15 dipendenti nell'unità produttiva o nel comune (più di 5 se imprenditore agricolo), o più di 60 in totale? (art. 18, ottavo e nono comma: part-time pro quota; non si computano coniuge e parenti entro il secondo grado).</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b/>
          <w:bCs/>
          <w:sz w:val="21"/>
          <w:szCs w:val="21"/>
        </w:rPr>
        <w:t xml:space="preserve">Tipo di licenziamento</w:t>
      </w:r>
      <w:r>
        <w:rPr>
          <w:rFonts w:ascii="Calibri" w:cs="Calibri" w:eastAsia="Calibri" w:hAnsi="Calibri"/>
          <w:sz w:val="21"/>
          <w:szCs w:val="21"/>
        </w:rPr>
        <w:t xml:space="preserve">: disciplinare (c'è stata la contestazione scritta e il termine a difesa di cinque giorni? art. 7 St. lav.), economico (GMO), per superamento del comporto (art. 2110 c.c.), orale, collettivo.</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sz w:val="21"/>
          <w:szCs w:val="21"/>
        </w:rPr>
        <w:t xml:space="preserve">Possibili </w:t>
      </w:r>
      <w:r>
        <w:rPr>
          <w:rFonts w:ascii="Calibri" w:cs="Calibri" w:eastAsia="Calibri" w:hAnsi="Calibri"/>
          <w:b/>
          <w:bCs/>
          <w:sz w:val="21"/>
          <w:szCs w:val="21"/>
        </w:rPr>
        <w:t xml:space="preserve">nullità</w:t>
      </w:r>
      <w:r>
        <w:rPr>
          <w:rFonts w:ascii="Calibri" w:cs="Calibri" w:eastAsia="Calibri" w:hAnsi="Calibri"/>
          <w:sz w:val="21"/>
          <w:szCs w:val="21"/>
        </w:rPr>
        <w:t xml:space="preserve">: discriminazione (art. 15 St. lav.; art. 3 l. 108/1990), maternità/paternità (art. 54 d.lgs. 151/2001), matrimonio (art. 35 d.lgs. 198/2006), motivo illecito determinante (art. 1345 c.c., richiamato dall'art. 18), disabilità.</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sz w:val="21"/>
          <w:szCs w:val="21"/>
        </w:rPr>
        <w:t xml:space="preserve">Il lavoratore </w:t>
      </w:r>
      <w:r>
        <w:rPr>
          <w:rFonts w:ascii="Calibri" w:cs="Calibri" w:eastAsia="Calibri" w:hAnsi="Calibri"/>
          <w:b/>
          <w:bCs/>
          <w:sz w:val="21"/>
          <w:szCs w:val="21"/>
        </w:rPr>
        <w:t xml:space="preserve">firma</w:t>
      </w:r>
      <w:r>
        <w:rPr>
          <w:rFonts w:ascii="Calibri" w:cs="Calibri" w:eastAsia="Calibri" w:hAnsi="Calibri"/>
          <w:sz w:val="21"/>
          <w:szCs w:val="21"/>
        </w:rPr>
        <w:t xml:space="preserve"> la lettera (v. nota A1).</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sz w:val="21"/>
          <w:szCs w:val="21"/>
        </w:rPr>
        <w:t xml:space="preserve">Canale con </w:t>
      </w:r>
      <w:r>
        <w:rPr>
          <w:rFonts w:ascii="Calibri" w:cs="Calibri" w:eastAsia="Calibri" w:hAnsi="Calibri"/>
          <w:b/>
          <w:bCs/>
          <w:sz w:val="21"/>
          <w:szCs w:val="21"/>
        </w:rPr>
        <w:t xml:space="preserve">prova della consegna</w:t>
      </w:r>
      <w:r>
        <w:rPr>
          <w:rFonts w:ascii="Calibri" w:cs="Calibri" w:eastAsia="Calibri" w:hAnsi="Calibri"/>
          <w:sz w:val="21"/>
          <w:szCs w:val="21"/>
        </w:rPr>
        <w:t xml:space="preserve">: PEC al domicilio digitale del datore (INI-PEC) o raccomandata A/R; conservate ricevute originali.</w:t>
      </w:r>
    </w:p>
    <w:p>
      <w:pPr>
        <w:pStyle w:val="Corpo"/>
        <w:keepNext/>
        <w:spacing w:after="100" w:before="100" w:line="264"/>
        <w:jc w:val="left"/>
      </w:pPr>
      <w:r>
        <w:rPr>
          <w:rFonts w:ascii="Calibri" w:cs="Calibri" w:eastAsia="Calibri" w:hAnsi="Calibri"/>
          <w:b/>
          <w:bCs/>
          <w:sz w:val="21"/>
          <w:szCs w:val="21"/>
        </w:rPr>
        <w:t xml:space="preserve">Prima del ricorso</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sz w:val="21"/>
          <w:szCs w:val="21"/>
        </w:rPr>
        <w:t xml:space="preserve">Termine dei 180 giorni calcolato dal giorno più anticipato.</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sz w:val="21"/>
          <w:szCs w:val="21"/>
        </w:rPr>
        <w:t xml:space="preserve">Domanda di </w:t>
      </w:r>
      <w:r>
        <w:rPr>
          <w:rFonts w:ascii="Calibri" w:cs="Calibri" w:eastAsia="Calibri" w:hAnsi="Calibri"/>
          <w:b/>
          <w:bCs/>
          <w:sz w:val="21"/>
          <w:szCs w:val="21"/>
        </w:rPr>
        <w:t xml:space="preserve">reintegrazione</w:t>
      </w:r>
      <w:r>
        <w:rPr>
          <w:rFonts w:ascii="Calibri" w:cs="Calibri" w:eastAsia="Calibri" w:hAnsi="Calibri"/>
          <w:sz w:val="21"/>
          <w:szCs w:val="21"/>
        </w:rPr>
        <w:t xml:space="preserve">? Allora istanza ex </w:t>
      </w:r>
      <w:r>
        <w:rPr>
          <w:rFonts w:ascii="Calibri" w:cs="Calibri" w:eastAsia="Calibri" w:hAnsi="Calibri"/>
          <w:b/>
          <w:bCs/>
          <w:sz w:val="21"/>
          <w:szCs w:val="21"/>
        </w:rPr>
        <w:t xml:space="preserve">art. 441-bis</w:t>
      </w:r>
      <w:r>
        <w:rPr>
          <w:rFonts w:ascii="Calibri" w:cs="Calibri" w:eastAsia="Calibri" w:hAnsi="Calibri"/>
          <w:sz w:val="21"/>
          <w:szCs w:val="21"/>
        </w:rPr>
        <w:t xml:space="preserve"> (priorità e riduzione dei termini).</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b/>
          <w:bCs/>
          <w:sz w:val="21"/>
          <w:szCs w:val="21"/>
        </w:rPr>
        <w:t xml:space="preserve">Regime applicabile</w:t>
      </w:r>
      <w:r>
        <w:rPr>
          <w:rFonts w:ascii="Calibri" w:cs="Calibri" w:eastAsia="Calibri" w:hAnsi="Calibri"/>
          <w:sz w:val="21"/>
          <w:szCs w:val="21"/>
        </w:rPr>
        <w:t xml:space="preserve"> e domande in </w:t>
      </w:r>
      <w:r>
        <w:rPr>
          <w:rFonts w:ascii="Calibri" w:cs="Calibri" w:eastAsia="Calibri" w:hAnsi="Calibri"/>
          <w:b/>
          <w:bCs/>
          <w:sz w:val="21"/>
          <w:szCs w:val="21"/>
        </w:rPr>
        <w:t xml:space="preserve">subordine</w:t>
      </w:r>
      <w:r>
        <w:rPr>
          <w:rFonts w:ascii="Calibri" w:cs="Calibri" w:eastAsia="Calibri" w:hAnsi="Calibri"/>
          <w:sz w:val="21"/>
          <w:szCs w:val="21"/>
        </w:rPr>
        <w:t xml:space="preserve"> graduate (nullità → reintegra attenuata → indennità → vizi formali), perché il giudice applica la tutela corrispondente al vizio accertato, e l'art. 4 d.lgs. 23 e l'art. 18, sesto comma, consentono il passaggio alle tutele maggiori solo «sulla base della domanda del lavoratore».</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b/>
          <w:bCs/>
          <w:sz w:val="21"/>
          <w:szCs w:val="21"/>
        </w:rPr>
        <w:t xml:space="preserve">Dati del convenuto</w:t>
      </w:r>
      <w:r>
        <w:rPr>
          <w:rFonts w:ascii="Calibri" w:cs="Calibri" w:eastAsia="Calibri" w:hAnsi="Calibri"/>
          <w:sz w:val="21"/>
          <w:szCs w:val="21"/>
        </w:rPr>
        <w:t xml:space="preserve">, compresi codice fiscale e </w:t>
      </w:r>
      <w:r>
        <w:rPr>
          <w:rFonts w:ascii="Calibri" w:cs="Calibri" w:eastAsia="Calibri" w:hAnsi="Calibri"/>
          <w:b/>
          <w:bCs/>
          <w:sz w:val="21"/>
          <w:szCs w:val="21"/>
        </w:rPr>
        <w:t xml:space="preserve">PEC risultante da pubblici elenchi</w:t>
      </w:r>
      <w:r>
        <w:rPr>
          <w:rFonts w:ascii="Calibri" w:cs="Calibri" w:eastAsia="Calibri" w:hAnsi="Calibri"/>
          <w:sz w:val="21"/>
          <w:szCs w:val="21"/>
        </w:rPr>
        <w:t xml:space="preserve"> (art. 414, n. 2).</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b/>
          <w:bCs/>
          <w:sz w:val="21"/>
          <w:szCs w:val="21"/>
        </w:rPr>
        <w:t xml:space="preserve">Prove</w:t>
      </w:r>
      <w:r>
        <w:rPr>
          <w:rFonts w:ascii="Calibri" w:cs="Calibri" w:eastAsia="Calibri" w:hAnsi="Calibri"/>
          <w:sz w:val="21"/>
          <w:szCs w:val="21"/>
        </w:rPr>
        <w:t xml:space="preserve">: documenti offerti in comunicazione e capitoli di prova specifici (art. 414, n. 5): nel rito del lavoro le prove non indicate nel ricorso si perdono.</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sz w:val="21"/>
          <w:szCs w:val="21"/>
        </w:rPr>
        <w:t xml:space="preserve">Contributo: valore, esenzione, codice fiscale (§ 4).</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sz w:val="21"/>
          <w:szCs w:val="21"/>
        </w:rPr>
        <w:t xml:space="preserve">Ultima </w:t>
      </w:r>
      <w:r>
        <w:rPr>
          <w:rFonts w:ascii="Calibri" w:cs="Calibri" w:eastAsia="Calibri" w:hAnsi="Calibri"/>
          <w:b/>
          <w:bCs/>
          <w:sz w:val="21"/>
          <w:szCs w:val="21"/>
        </w:rPr>
        <w:t xml:space="preserve">retribuzione di riferimento per il TFR</w:t>
      </w:r>
      <w:r>
        <w:rPr>
          <w:rFonts w:ascii="Calibri" w:cs="Calibri" w:eastAsia="Calibri" w:hAnsi="Calibri"/>
          <w:sz w:val="21"/>
          <w:szCs w:val="21"/>
        </w:rPr>
        <w:t xml:space="preserve"> (d.lgs. 23) o </w:t>
      </w:r>
      <w:r>
        <w:rPr>
          <w:rFonts w:ascii="Calibri" w:cs="Calibri" w:eastAsia="Calibri" w:hAnsi="Calibri"/>
          <w:b/>
          <w:bCs/>
          <w:sz w:val="21"/>
          <w:szCs w:val="21"/>
        </w:rPr>
        <w:t xml:space="preserve">retribuzione globale di fatto</w:t>
      </w:r>
      <w:r>
        <w:rPr>
          <w:rFonts w:ascii="Calibri" w:cs="Calibri" w:eastAsia="Calibri" w:hAnsi="Calibri"/>
          <w:sz w:val="21"/>
          <w:szCs w:val="21"/>
        </w:rPr>
        <w:t xml:space="preserve"> (art. 18 e art. 8 l. 604/1966): sono basi di calcolo diverse.</w:t>
      </w:r>
    </w:p>
    <w:p>
      <w:pPr>
        <w:pStyle w:val="Heading2"/>
      </w:pPr>
      <w:r>
        <w:rPr>
          <w:rFonts w:ascii="Georgia" w:cs="Georgia" w:eastAsia="Georgia" w:hAnsi="Georgia"/>
          <w:b/>
          <w:bCs/>
        </w:rPr>
        <w:t xml:space="preserve">6. I modelli</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val="false"/>
        </w:trPr>
        <w:tc>
          <w:tcPr>
            <w:tcW w:type="dxa" w:w="9638"/>
            <w:tcBorders>
              <w:top w:val="none" w:color="FFFFFF" w:sz="0"/>
              <w:left w:val="single" w:color="2F6A4A" w:sz="24"/>
              <w:bottom w:val="none" w:color="FFFFFF" w:sz="0"/>
              <w:right w:val="none" w:color="FFFFFF" w:sz="0"/>
            </w:tcBorders>
            <w:shd w:fill="E3EBE6" w:color="auto" w:val="clear"/>
            <w:tcMar>
              <w:top w:type="dxa" w:w="120"/>
              <w:left w:type="dxa" w:w="220"/>
              <w:bottom w:type="dxa" w:w="70"/>
              <w:right w:type="dxa" w:w="200"/>
            </w:tcMar>
          </w:tcPr>
          <w:p>
            <w:pPr>
              <w:pStyle w:val="Corpo"/>
              <w:spacing w:after="60" w:line="264"/>
              <w:jc w:val="left"/>
            </w:pPr>
            <w:r>
              <w:rPr>
                <w:rFonts w:ascii="Calibri" w:cs="Calibri" w:eastAsia="Calibri" w:hAnsi="Calibri"/>
                <w:sz w:val="20"/>
                <w:szCs w:val="20"/>
              </w:rPr>
              <w:t xml:space="preserve">Campi da compilare tra </w:t>
            </w:r>
            <w:r>
              <w:rPr>
                <w:rFonts w:ascii="Calibri" w:cs="Calibri" w:eastAsia="Calibri" w:hAnsi="Calibri"/>
                <w:b/>
                <w:bCs/>
                <w:sz w:val="20"/>
                <w:szCs w:val="20"/>
              </w:rPr>
              <w:t xml:space="preserve">[parentesi quadre]</w:t>
            </w:r>
            <w:r>
              <w:rPr>
                <w:rFonts w:ascii="Calibri" w:cs="Calibri" w:eastAsia="Calibri" w:hAnsi="Calibri"/>
                <w:sz w:val="20"/>
                <w:szCs w:val="20"/>
              </w:rPr>
              <w:t xml:space="preserve">; varianti alternative tra </w:t>
            </w:r>
            <w:r>
              <w:rPr>
                <w:rFonts w:ascii="Calibri" w:cs="Calibri" w:eastAsia="Calibri" w:hAnsi="Calibri"/>
                <w:b/>
                <w:bCs/>
                <w:sz w:val="20"/>
                <w:szCs w:val="20"/>
              </w:rPr>
              <w:t xml:space="preserve">⟦ ⟧</w:t>
            </w:r>
            <w:r>
              <w:rPr>
                <w:rFonts w:ascii="Calibri" w:cs="Calibri" w:eastAsia="Calibri" w:hAnsi="Calibri"/>
                <w:sz w:val="20"/>
                <w:szCs w:val="20"/>
              </w:rPr>
              <w:t xml:space="preserve">.</w:t>
            </w:r>
          </w:p>
        </w:tc>
      </w:tr>
    </w:tbl>
    <w:p>
      <w:pPr>
        <w:spacing w:after="0" w:before="0" w:line="120"/>
      </w:pPr>
    </w:p>
    <w:p>
      <w:pPr>
        <w:pStyle w:val="Heading3"/>
      </w:pPr>
      <w:r>
        <w:rPr>
          <w:rFonts w:ascii="Calibri" w:cs="Calibri" w:eastAsia="Calibri" w:hAnsi="Calibri"/>
          <w:b/>
          <w:bCs/>
        </w:rPr>
        <w:t xml:space="preserve">Modello A — Lettera di impugnazione stragiudiziale del licenziamento (art. 6 l. 604/1966)</w:t>
      </w:r>
    </w:p>
    <w:p>
      <w:pPr>
        <w:pStyle w:val="Corpo"/>
        <w:pBdr>
          <w:left w:val="single" w:color="2F6A4A" w:sz="18" w:space="8"/>
        </w:pBdr>
        <w:shd w:fill="F5F4F0" w:color="auto" w:val="clear"/>
        <w:spacing w:after="120" w:before="40" w:line="264"/>
      </w:pPr>
      <w:r>
        <w:rPr>
          <w:rFonts w:ascii="Calibri" w:cs="Calibri" w:eastAsia="Calibri" w:hAnsi="Calibri"/>
          <w:i/>
          <w:iCs/>
          <w:color w:val="4F5654"/>
          <w:sz w:val="20"/>
          <w:szCs w:val="20"/>
        </w:rPr>
        <w:t xml:space="preserve">Il testo da compilare è nella prima parte del documento: </w:t>
      </w:r>
      <w:hyperlink w:history="1" w:anchor="modello_1">
        <w:r>
          <w:rPr>
            <w:rFonts w:ascii="Calibri" w:cs="Calibri" w:eastAsia="Calibri" w:hAnsi="Calibri"/>
            <w:b/>
            <w:bCs/>
            <w:color w:val="2F6A4A"/>
            <w:sz w:val="20"/>
            <w:szCs w:val="20"/>
            <w:u w:val="single" w:color="2F6A4A"/>
          </w:rPr>
          <w:t xml:space="preserve">«Modello A — Lettera di impugnazione stragiudiziale del licenziamento (art. 6 l. 604/1966)»</w:t>
        </w:r>
      </w:hyperlink>
      <w:r>
        <w:rPr>
          <w:rFonts w:ascii="Calibri" w:cs="Calibri" w:eastAsia="Calibri" w:hAnsi="Calibri"/>
          <w:i/>
          <w:iCs/>
          <w:color w:val="4F5654"/>
          <w:sz w:val="20"/>
          <w:szCs w:val="20"/>
        </w:rPr>
        <w:t xml:space="preserve">.</w:t>
      </w:r>
    </w:p>
    <w:p>
      <w:pPr>
        <w:pStyle w:val="Heading3"/>
      </w:pPr>
      <w:r>
        <w:rPr>
          <w:rFonts w:ascii="Calibri" w:cs="Calibri" w:eastAsia="Calibri" w:hAnsi="Calibri"/>
          <w:b/>
          <w:bCs/>
        </w:rPr>
        <w:t xml:space="preserve">Modello B — Ricorso al Tribunale in funzione di giudice del lavoro (art. 414 c.p.c.) con istanza ex art. 441-bis c.p.c.</w:t>
      </w:r>
    </w:p>
    <w:p>
      <w:pPr>
        <w:pStyle w:val="Corpo"/>
        <w:pBdr>
          <w:left w:val="single" w:color="2F6A4A" w:sz="18" w:space="8"/>
        </w:pBdr>
        <w:shd w:fill="F5F4F0" w:color="auto" w:val="clear"/>
        <w:spacing w:after="120" w:before="40" w:line="264"/>
      </w:pPr>
      <w:r>
        <w:rPr>
          <w:rFonts w:ascii="Calibri" w:cs="Calibri" w:eastAsia="Calibri" w:hAnsi="Calibri"/>
          <w:i/>
          <w:iCs/>
          <w:color w:val="4F5654"/>
          <w:sz w:val="20"/>
          <w:szCs w:val="20"/>
        </w:rPr>
        <w:t xml:space="preserve">Il testo da compilare è nella prima parte del documento: </w:t>
      </w:r>
      <w:hyperlink w:history="1" w:anchor="modello_2">
        <w:r>
          <w:rPr>
            <w:rFonts w:ascii="Calibri" w:cs="Calibri" w:eastAsia="Calibri" w:hAnsi="Calibri"/>
            <w:b/>
            <w:bCs/>
            <w:color w:val="2F6A4A"/>
            <w:sz w:val="20"/>
            <w:szCs w:val="20"/>
            <w:u w:val="single" w:color="2F6A4A"/>
          </w:rPr>
          <w:t xml:space="preserve">«Modello B — Ricorso al Tribunale in funzione di giudice del lavoro (art. 414 c.p.c.) con istanza ex art. 441-bis c.p.c.»</w:t>
        </w:r>
      </w:hyperlink>
      <w:r>
        <w:rPr>
          <w:rFonts w:ascii="Calibri" w:cs="Calibri" w:eastAsia="Calibri" w:hAnsi="Calibri"/>
          <w:i/>
          <w:iCs/>
          <w:color w:val="4F5654"/>
          <w:sz w:val="20"/>
          <w:szCs w:val="20"/>
        </w:rPr>
        <w:t xml:space="preserve">.</w:t>
      </w:r>
    </w:p>
    <w:p>
      <w:pPr>
        <w:pStyle w:val="Heading3"/>
      </w:pPr>
      <w:r>
        <w:rPr>
          <w:rFonts w:ascii="Calibri" w:cs="Calibri" w:eastAsia="Calibri" w:hAnsi="Calibri"/>
          <w:b/>
          <w:bCs/>
        </w:rPr>
        <w:t xml:space="preserve">Modello C — Richiesta di tentativo di conciliazione presso la commissione (art. 410 c.p.c.)</w:t>
      </w:r>
    </w:p>
    <w:p>
      <w:pPr>
        <w:pStyle w:val="Corpo"/>
        <w:keepNext w:val="false"/>
        <w:spacing w:after="100" w:line="264"/>
        <w:jc w:val="left"/>
      </w:pPr>
      <w:r>
        <w:rPr>
          <w:rFonts w:ascii="Calibri" w:cs="Calibri" w:eastAsia="Calibri" w:hAnsi="Calibri"/>
          <w:sz w:val="21"/>
          <w:szCs w:val="21"/>
        </w:rPr>
        <w:t xml:space="preserve">Alternativa al ricorso entro i 180 giorni. La richiesta, </w:t>
      </w:r>
      <w:r>
        <w:rPr>
          <w:rFonts w:ascii="Calibri" w:cs="Calibri" w:eastAsia="Calibri" w:hAnsi="Calibri"/>
          <w:b/>
          <w:bCs/>
          <w:sz w:val="21"/>
          <w:szCs w:val="21"/>
        </w:rPr>
        <w:t xml:space="preserve">sottoscritta dall'istante</w:t>
      </w:r>
      <w:r>
        <w:rPr>
          <w:rFonts w:ascii="Calibri" w:cs="Calibri" w:eastAsia="Calibri" w:hAnsi="Calibri"/>
          <w:sz w:val="21"/>
          <w:szCs w:val="21"/>
        </w:rPr>
        <w:t xml:space="preserve">, si consegna o si spedisce con raccomandata A/R alla commissione, e </w:t>
      </w:r>
      <w:r>
        <w:rPr>
          <w:rFonts w:ascii="Calibri" w:cs="Calibri" w:eastAsia="Calibri" w:hAnsi="Calibri"/>
          <w:b/>
          <w:bCs/>
          <w:sz w:val="21"/>
          <w:szCs w:val="21"/>
        </w:rPr>
        <w:t xml:space="preserve">copia va consegnata o spedita con raccomandata A/R alla controparte a cura dell'istante</w:t>
      </w:r>
      <w:r>
        <w:rPr>
          <w:rFonts w:ascii="Calibri" w:cs="Calibri" w:eastAsia="Calibri" w:hAnsi="Calibri"/>
          <w:sz w:val="21"/>
          <w:szCs w:val="21"/>
        </w:rPr>
        <w:t xml:space="preserve"> (art. 410 c.p.c.): è la comunicazione «alla controparte» che conserva l'impugnazione (art. 6, secondo comma).</w:t>
      </w:r>
    </w:p>
    <w:p>
      <w:pPr>
        <w:pStyle w:val="Corpo"/>
        <w:pBdr>
          <w:left w:val="single" w:color="2F6A4A" w:sz="18" w:space="8"/>
        </w:pBdr>
        <w:shd w:fill="F5F4F0" w:color="auto" w:val="clear"/>
        <w:spacing w:after="120" w:before="40" w:line="264"/>
      </w:pPr>
      <w:r>
        <w:rPr>
          <w:rFonts w:ascii="Calibri" w:cs="Calibri" w:eastAsia="Calibri" w:hAnsi="Calibri"/>
          <w:i/>
          <w:iCs/>
          <w:color w:val="4F5654"/>
          <w:sz w:val="20"/>
          <w:szCs w:val="20"/>
        </w:rPr>
        <w:t xml:space="preserve">Il testo da compilare è nella prima parte del documento: </w:t>
      </w:r>
      <w:hyperlink w:history="1" w:anchor="modello_3">
        <w:r>
          <w:rPr>
            <w:rFonts w:ascii="Calibri" w:cs="Calibri" w:eastAsia="Calibri" w:hAnsi="Calibri"/>
            <w:b/>
            <w:bCs/>
            <w:color w:val="2F6A4A"/>
            <w:sz w:val="20"/>
            <w:szCs w:val="20"/>
            <w:u w:val="single" w:color="2F6A4A"/>
          </w:rPr>
          <w:t xml:space="preserve">«Modello C — Richiesta di tentativo di conciliazione presso la commissione (art. 410 c.p.c.)»</w:t>
        </w:r>
      </w:hyperlink>
      <w:r>
        <w:rPr>
          <w:rFonts w:ascii="Calibri" w:cs="Calibri" w:eastAsia="Calibri" w:hAnsi="Calibri"/>
          <w:i/>
          <w:iCs/>
          <w:color w:val="4F5654"/>
          <w:sz w:val="20"/>
          <w:szCs w:val="20"/>
        </w:rPr>
        <w:t xml:space="preserve">.</w:t>
      </w:r>
    </w:p>
    <w:p>
      <w:pPr>
        <w:pStyle w:val="Corpo"/>
        <w:keepNext w:val="false"/>
        <w:spacing w:after="100" w:line="264"/>
        <w:jc w:val="left"/>
      </w:pPr>
      <w:r>
        <w:rPr>
          <w:rFonts w:ascii="Calibri" w:cs="Calibri" w:eastAsia="Calibri" w:hAnsi="Calibri"/>
          <w:sz w:val="21"/>
          <w:szCs w:val="21"/>
        </w:rPr>
        <w:t xml:space="preserve">Dopo la comunicazione: la controparte che accetta deposita una memoria entro </w:t>
      </w:r>
      <w:r>
        <w:rPr>
          <w:rFonts w:ascii="Calibri" w:cs="Calibri" w:eastAsia="Calibri" w:hAnsi="Calibri"/>
          <w:b/>
          <w:bCs/>
          <w:sz w:val="21"/>
          <w:szCs w:val="21"/>
        </w:rPr>
        <w:t xml:space="preserve">20 giorni</w:t>
      </w:r>
      <w:r>
        <w:rPr>
          <w:rFonts w:ascii="Calibri" w:cs="Calibri" w:eastAsia="Calibri" w:hAnsi="Calibri"/>
          <w:sz w:val="21"/>
          <w:szCs w:val="21"/>
        </w:rPr>
        <w:t xml:space="preserve"> dal ricevimento della copia; se non lo fa, ciascuna parte è libera di adire il giudice (art. 410 c.p.c.). Se la conciliazione è rifiutata o non c'è l'accordo per svolgerla, il ricorso va depositato </w:t>
      </w:r>
      <w:r>
        <w:rPr>
          <w:rFonts w:ascii="Calibri" w:cs="Calibri" w:eastAsia="Calibri" w:hAnsi="Calibri"/>
          <w:b/>
          <w:bCs/>
          <w:sz w:val="21"/>
          <w:szCs w:val="21"/>
        </w:rPr>
        <w:t xml:space="preserve">entro 60 giorni</w:t>
      </w:r>
      <w:r>
        <w:rPr>
          <w:rFonts w:ascii="Calibri" w:cs="Calibri" w:eastAsia="Calibri" w:hAnsi="Calibri"/>
          <w:sz w:val="21"/>
          <w:szCs w:val="21"/>
        </w:rPr>
        <w:t xml:space="preserve"> (art. 6, secondo comma). La comunicazione della richiesta interrompe la prescrizione e sospende «per la durata del tentativo di conciliazione e per i venti giorni successivi alla sua conclusione, il decorso di ogni termine di decadenza» (art. 410, secondo comma): come questa sospensione si combini con i termini dell'art. 6 la legge non lo dice (§ 10).</w:t>
      </w:r>
    </w:p>
    <w:p>
      <w:pPr>
        <w:pStyle w:val="Heading2"/>
      </w:pPr>
      <w:r>
        <w:rPr>
          <w:rFonts w:ascii="Georgia" w:cs="Georgia" w:eastAsia="Georgia" w:hAnsi="Georgia"/>
          <w:b/>
          <w:bCs/>
        </w:rPr>
        <w:t xml:space="preserve">7. Note di compilazione</w:t>
      </w:r>
    </w:p>
    <w:p>
      <w:pPr>
        <w:pStyle w:val="Corpo"/>
        <w:keepNext w:val="false"/>
        <w:spacing w:after="100" w:line="264"/>
        <w:jc w:val="left"/>
      </w:pPr>
      <w:bookmarkStart w:name="nota_A1" w:id="5"/>
      <w:r>
        <w:rPr>
          <w:rFonts w:ascii="Calibri" w:cs="Calibri" w:eastAsia="Calibri" w:hAnsi="Calibri"/>
          <w:b/>
          <w:bCs/>
          <w:sz w:val="21"/>
          <w:szCs w:val="21"/>
        </w:rPr>
        <w:t xml:space="preserve">A1 – Chi firma l'impugnazione.</w:t>
      </w:r>
      <w:bookmarkEnd w:id="5"/>
      <w:r>
        <w:rPr>
          <w:rFonts w:ascii="Calibri" w:cs="Calibri" w:eastAsia="Calibri" w:hAnsi="Calibri"/>
          <w:sz w:val="21"/>
          <w:szCs w:val="21"/>
        </w:rPr>
        <w:t xml:space="preserve"> La legge chiede un atto scritto «idoneo a rendere nota la volontà del lavoratore», anche tramite l'intervento del sindacato. </w:t>
      </w:r>
      <w:r>
        <w:rPr>
          <w:rFonts w:ascii="Calibri" w:cs="Calibri" w:eastAsia="Calibri" w:hAnsi="Calibri"/>
          <w:b/>
          <w:bCs/>
          <w:sz w:val="21"/>
          <w:szCs w:val="21"/>
        </w:rPr>
        <w:t xml:space="preserve">Fatela firmare al lavoratore</w:t>
      </w:r>
      <w:r>
        <w:rPr>
          <w:rFonts w:ascii="Calibri" w:cs="Calibri" w:eastAsia="Calibri" w:hAnsi="Calibri"/>
          <w:sz w:val="21"/>
          <w:szCs w:val="21"/>
        </w:rPr>
        <w:t xml:space="preserve">: se la firma il solo avvocato, si apre una questione sui poteri del difensore che questo formulario non risolve (non riporta giurisprudenza). La firma del difensore accanto a quella del lavoratore non nuoce.</w:t>
      </w:r>
    </w:p>
    <w:p>
      <w:pPr>
        <w:pStyle w:val="Corpo"/>
        <w:keepNext w:val="false"/>
        <w:spacing w:after="100" w:line="264"/>
        <w:jc w:val="left"/>
      </w:pPr>
      <w:bookmarkStart w:name="nota_A2" w:id="6"/>
      <w:r>
        <w:rPr>
          <w:rFonts w:ascii="Calibri" w:cs="Calibri" w:eastAsia="Calibri" w:hAnsi="Calibri"/>
          <w:b/>
          <w:bCs/>
          <w:sz w:val="21"/>
          <w:szCs w:val="21"/>
        </w:rPr>
        <w:t xml:space="preserve">A2 – Canale.</w:t>
      </w:r>
      <w:bookmarkEnd w:id="6"/>
      <w:r>
        <w:rPr>
          <w:rFonts w:ascii="Calibri" w:cs="Calibri" w:eastAsia="Calibri" w:hAnsi="Calibri"/>
          <w:sz w:val="21"/>
          <w:szCs w:val="21"/>
        </w:rPr>
        <w:t xml:space="preserve"> Contano la ricezione e la sua prova. PEC al domicilio digitale del datore dall'INI-PEC (le imprese sono obbligate ad averlo: art. 3-bis, comma 1, CAD), oppure raccomandata A/R. Consegna a mano solo con ricevuta datata e firmata da chi ha poteri di riceverla.</w:t>
      </w:r>
    </w:p>
    <w:p>
      <w:pPr>
        <w:pStyle w:val="Corpo"/>
        <w:keepNext w:val="false"/>
        <w:spacing w:after="100" w:line="264"/>
        <w:jc w:val="left"/>
      </w:pPr>
      <w:bookmarkStart w:name="nota_A3" w:id="7"/>
      <w:r>
        <w:rPr>
          <w:rFonts w:ascii="Calibri" w:cs="Calibri" w:eastAsia="Calibri" w:hAnsi="Calibri"/>
          <w:b/>
          <w:bCs/>
          <w:sz w:val="21"/>
          <w:szCs w:val="21"/>
        </w:rPr>
        <w:t xml:space="preserve">A3 – Le date.</w:t>
      </w:r>
      <w:bookmarkEnd w:id="7"/>
      <w:r>
        <w:rPr>
          <w:rFonts w:ascii="Calibri" w:cs="Calibri" w:eastAsia="Calibri" w:hAnsi="Calibri"/>
          <w:sz w:val="21"/>
          <w:szCs w:val="21"/>
        </w:rPr>
        <w:t xml:space="preserve"> Indicate la data della lettera </w:t>
      </w:r>
      <w:r>
        <w:rPr>
          <w:rFonts w:ascii="Calibri" w:cs="Calibri" w:eastAsia="Calibri" w:hAnsi="Calibri"/>
          <w:b/>
          <w:bCs/>
          <w:sz w:val="21"/>
          <w:szCs w:val="21"/>
        </w:rPr>
        <w:t xml:space="preserve">e quella di ricezione</w:t>
      </w:r>
      <w:r>
        <w:rPr>
          <w:rFonts w:ascii="Calibri" w:cs="Calibri" w:eastAsia="Calibri" w:hAnsi="Calibri"/>
          <w:sz w:val="21"/>
          <w:szCs w:val="21"/>
        </w:rPr>
        <w:t xml:space="preserve">: è da questa che corrono i 60 giorni.</w:t>
      </w:r>
    </w:p>
    <w:p>
      <w:pPr>
        <w:pStyle w:val="Corpo"/>
        <w:keepNext w:val="false"/>
        <w:spacing w:after="100" w:line="264"/>
        <w:jc w:val="left"/>
      </w:pPr>
      <w:bookmarkStart w:name="nota_A4" w:id="8"/>
      <w:r>
        <w:rPr>
          <w:rFonts w:ascii="Calibri" w:cs="Calibri" w:eastAsia="Calibri" w:hAnsi="Calibri"/>
          <w:b/>
          <w:bCs/>
          <w:sz w:val="21"/>
          <w:szCs w:val="21"/>
        </w:rPr>
        <w:t xml:space="preserve">A4 – Motivi.</w:t>
      </w:r>
      <w:bookmarkEnd w:id="8"/>
      <w:r>
        <w:rPr>
          <w:rFonts w:ascii="Calibri" w:cs="Calibri" w:eastAsia="Calibri" w:hAnsi="Calibri"/>
          <w:sz w:val="21"/>
          <w:szCs w:val="21"/>
        </w:rPr>
        <w:t xml:space="preserve"> Non sono obbligatori: basta la volontà di impugnare. Indicarli in modo esemplificativo («senza limitazione») non vi preclude altri motivi nel ricorso e orienta l'eventuale revoca del datore.</w:t>
      </w:r>
    </w:p>
    <w:p>
      <w:pPr>
        <w:pStyle w:val="Corpo"/>
        <w:keepNext w:val="false"/>
        <w:spacing w:after="100" w:line="264"/>
        <w:jc w:val="left"/>
      </w:pPr>
      <w:bookmarkStart w:name="nota_A5" w:id="9"/>
      <w:r>
        <w:rPr>
          <w:rFonts w:ascii="Calibri" w:cs="Calibri" w:eastAsia="Calibri" w:hAnsi="Calibri"/>
          <w:b/>
          <w:bCs/>
          <w:sz w:val="21"/>
          <w:szCs w:val="21"/>
        </w:rPr>
        <w:t xml:space="preserve">A5 – Disponibilità a riprendere servizio.</w:t>
      </w:r>
      <w:bookmarkEnd w:id="9"/>
      <w:r>
        <w:rPr>
          <w:rFonts w:ascii="Calibri" w:cs="Calibri" w:eastAsia="Calibri" w:hAnsi="Calibri"/>
          <w:sz w:val="21"/>
          <w:szCs w:val="21"/>
        </w:rPr>
        <w:t xml:space="preserve"> Utile soprattutto se chiederete la reintegrazione. Valutate con il cliente: se non vuole tornare, omettete la frase.</w:t>
      </w:r>
    </w:p>
    <w:p>
      <w:pPr>
        <w:pStyle w:val="Corpo"/>
        <w:keepNext w:val="false"/>
        <w:spacing w:after="100" w:line="264"/>
        <w:jc w:val="left"/>
      </w:pPr>
      <w:r>
        <w:rPr>
          <w:rFonts w:ascii="Calibri" w:cs="Calibri" w:eastAsia="Calibri" w:hAnsi="Calibri"/>
          <w:b/>
          <w:bCs/>
          <w:sz w:val="21"/>
          <w:szCs w:val="21"/>
        </w:rPr>
        <w:t xml:space="preserve">Revoca.</w:t>
      </w:r>
      <w:r>
        <w:rPr>
          <w:rFonts w:ascii="Calibri" w:cs="Calibri" w:eastAsia="Calibri" w:hAnsi="Calibri"/>
          <w:sz w:val="21"/>
          <w:szCs w:val="21"/>
        </w:rPr>
        <w:t xml:space="preserve"> Ricevuta l'impugnazione, il datore ha </w:t>
      </w:r>
      <w:r>
        <w:rPr>
          <w:rFonts w:ascii="Calibri" w:cs="Calibri" w:eastAsia="Calibri" w:hAnsi="Calibri"/>
          <w:b/>
          <w:bCs/>
          <w:sz w:val="21"/>
          <w:szCs w:val="21"/>
        </w:rPr>
        <w:t xml:space="preserve">15 giorni</w:t>
      </w:r>
      <w:r>
        <w:rPr>
          <w:rFonts w:ascii="Calibri" w:cs="Calibri" w:eastAsia="Calibri" w:hAnsi="Calibri"/>
          <w:sz w:val="21"/>
          <w:szCs w:val="21"/>
        </w:rPr>
        <w:t xml:space="preserve"> per revocare il licenziamento: il rapporto si ripristina senza soluzione di continuità, con le retribuzioni del periodo, e non si applicano le sanzioni (art. 5 d.lgs. 23/2015; art. 18, decimo comma). Avvertite il cliente.</w:t>
      </w:r>
    </w:p>
    <w:p>
      <w:pPr>
        <w:pStyle w:val="Corpo"/>
        <w:keepNext w:val="false"/>
        <w:spacing w:after="100" w:line="264"/>
        <w:jc w:val="left"/>
      </w:pPr>
      <w:r>
        <w:rPr>
          <w:rFonts w:ascii="Calibri" w:cs="Calibri" w:eastAsia="Calibri" w:hAnsi="Calibri"/>
          <w:b/>
          <w:bCs/>
          <w:sz w:val="21"/>
          <w:szCs w:val="21"/>
        </w:rPr>
        <w:t xml:space="preserve">Offerta di conciliazione (tutele crescenti).</w:t>
      </w:r>
      <w:r>
        <w:rPr>
          <w:rFonts w:ascii="Calibri" w:cs="Calibri" w:eastAsia="Calibri" w:hAnsi="Calibri"/>
          <w:sz w:val="21"/>
          <w:szCs w:val="21"/>
        </w:rPr>
        <w:t xml:space="preserve"> Entro i termini dell'impugnazione stragiudiziale il datore può offrire, in sede protetta (art. 2113, quarto comma, c.c. e art. 76 d.lgs. 276/2003) e con assegno circolare, una mensilità per anno di servizio, </w:t>
      </w:r>
      <w:r>
        <w:rPr>
          <w:rFonts w:ascii="Calibri" w:cs="Calibri" w:eastAsia="Calibri" w:hAnsi="Calibri"/>
          <w:b/>
          <w:bCs/>
          <w:sz w:val="21"/>
          <w:szCs w:val="21"/>
        </w:rPr>
        <w:t xml:space="preserve">tra 3 e 27 mensilità</w:t>
      </w:r>
      <w:r>
        <w:rPr>
          <w:rFonts w:ascii="Calibri" w:cs="Calibri" w:eastAsia="Calibri" w:hAnsi="Calibri"/>
          <w:sz w:val="21"/>
          <w:szCs w:val="21"/>
        </w:rPr>
        <w:t xml:space="preserve">, esente da IRPEF e contributi; l'accettazione estingue il rapporto e vale rinuncia all'impugnazione «anche qualora il lavoratore l'abbia già proposta» (art. 6 d.lgs. 23/2015). Sotto soglia gli importi sono dimezzati (art. 9, comma 1).</w:t>
      </w:r>
    </w:p>
    <w:p>
      <w:pPr>
        <w:pStyle w:val="Corpo"/>
        <w:keepNext w:val="false"/>
        <w:spacing w:after="100" w:line="264"/>
        <w:jc w:val="left"/>
      </w:pPr>
      <w:bookmarkStart w:name="nota_B1" w:id="10"/>
      <w:r>
        <w:rPr>
          <w:rFonts w:ascii="Calibri" w:cs="Calibri" w:eastAsia="Calibri" w:hAnsi="Calibri"/>
          <w:b/>
          <w:bCs/>
          <w:sz w:val="21"/>
          <w:szCs w:val="21"/>
        </w:rPr>
        <w:t xml:space="preserve">B1 – Giudice competente.</w:t>
      </w:r>
      <w:bookmarkEnd w:id="10"/>
      <w:r>
        <w:rPr>
          <w:rFonts w:ascii="Calibri" w:cs="Calibri" w:eastAsia="Calibri" w:hAnsi="Calibri"/>
          <w:sz w:val="21"/>
          <w:szCs w:val="21"/>
        </w:rPr>
        <w:t xml:space="preserve"> Tribunale in funzione di giudice del lavoro del luogo in cui è sorto il rapporto o in cui si trova l'azienda o la dipendenza cui il lavoratore era addetto alla fine del rapporto (art. 413, secondo comma); la competenza resta per sei mesi dopo il trasferimento o la cessazione dell'azienda (terzo comma). Le clausole derogative sono nulle (ultimo comma).</w:t>
      </w:r>
    </w:p>
    <w:p>
      <w:pPr>
        <w:pStyle w:val="Corpo"/>
        <w:keepNext w:val="false"/>
        <w:spacing w:after="100" w:line="264"/>
        <w:jc w:val="left"/>
      </w:pPr>
      <w:bookmarkStart w:name="nota_B2" w:id="11"/>
      <w:r>
        <w:rPr>
          <w:rFonts w:ascii="Calibri" w:cs="Calibri" w:eastAsia="Calibri" w:hAnsi="Calibri"/>
          <w:b/>
          <w:bCs/>
          <w:sz w:val="21"/>
          <w:szCs w:val="21"/>
        </w:rPr>
        <w:t xml:space="preserve">B2 – Il convenuto.</w:t>
      </w:r>
      <w:bookmarkEnd w:id="11"/>
      <w:r>
        <w:rPr>
          <w:rFonts w:ascii="Calibri" w:cs="Calibri" w:eastAsia="Calibri" w:hAnsi="Calibri"/>
          <w:sz w:val="21"/>
          <w:szCs w:val="21"/>
        </w:rPr>
        <w:t xml:space="preserve"> Dal 2023 il ricorso deve indicare anche il </w:t>
      </w:r>
      <w:r>
        <w:rPr>
          <w:rFonts w:ascii="Calibri" w:cs="Calibri" w:eastAsia="Calibri" w:hAnsi="Calibri"/>
          <w:b/>
          <w:bCs/>
          <w:sz w:val="21"/>
          <w:szCs w:val="21"/>
        </w:rPr>
        <w:t xml:space="preserve">codice fiscale</w:t>
      </w:r>
      <w:r>
        <w:rPr>
          <w:rFonts w:ascii="Calibri" w:cs="Calibri" w:eastAsia="Calibri" w:hAnsi="Calibri"/>
          <w:sz w:val="21"/>
          <w:szCs w:val="21"/>
        </w:rPr>
        <w:t xml:space="preserve"> e la </w:t>
      </w:r>
      <w:r>
        <w:rPr>
          <w:rFonts w:ascii="Calibri" w:cs="Calibri" w:eastAsia="Calibri" w:hAnsi="Calibri"/>
          <w:b/>
          <w:bCs/>
          <w:sz w:val="21"/>
          <w:szCs w:val="21"/>
        </w:rPr>
        <w:t xml:space="preserve">PEC risultante da pubblici elenchi</w:t>
      </w:r>
      <w:r>
        <w:rPr>
          <w:rFonts w:ascii="Calibri" w:cs="Calibri" w:eastAsia="Calibri" w:hAnsi="Calibri"/>
          <w:sz w:val="21"/>
          <w:szCs w:val="21"/>
        </w:rPr>
        <w:t xml:space="preserve"> del convenuto (art. 414, n. 2, testo vigente).</w:t>
      </w:r>
    </w:p>
    <w:p>
      <w:pPr>
        <w:pStyle w:val="Corpo"/>
        <w:keepNext w:val="false"/>
        <w:spacing w:after="100" w:line="264"/>
        <w:jc w:val="left"/>
      </w:pPr>
      <w:bookmarkStart w:name="nota_B3" w:id="12"/>
      <w:r>
        <w:rPr>
          <w:rFonts w:ascii="Calibri" w:cs="Calibri" w:eastAsia="Calibri" w:hAnsi="Calibri"/>
          <w:b/>
          <w:bCs/>
          <w:sz w:val="21"/>
          <w:szCs w:val="21"/>
        </w:rPr>
        <w:t xml:space="preserve">B3 – I fatti.</w:t>
      </w:r>
      <w:bookmarkEnd w:id="12"/>
      <w:r>
        <w:rPr>
          <w:rFonts w:ascii="Calibri" w:cs="Calibri" w:eastAsia="Calibri" w:hAnsi="Calibri"/>
          <w:sz w:val="21"/>
          <w:szCs w:val="21"/>
        </w:rPr>
        <w:t xml:space="preserve"> Nel rito del lavoro la domanda si cristallizza nel ricorso: «l'esposizione dei fatti e degli elementi di diritto» (art. 414, n. 4). Scrivete i fatti in modo che ciascuno sia provabile con un documento o un capitolo.</w:t>
      </w:r>
    </w:p>
    <w:p>
      <w:pPr>
        <w:pStyle w:val="Corpo"/>
        <w:keepNext w:val="false"/>
        <w:spacing w:after="100" w:line="264"/>
        <w:jc w:val="left"/>
      </w:pPr>
      <w:bookmarkStart w:name="nota_B4" w:id="13"/>
      <w:r>
        <w:rPr>
          <w:rFonts w:ascii="Calibri" w:cs="Calibri" w:eastAsia="Calibri" w:hAnsi="Calibri"/>
          <w:b/>
          <w:bCs/>
          <w:sz w:val="21"/>
          <w:szCs w:val="21"/>
        </w:rPr>
        <w:t xml:space="preserve">B4 – Il diritto: graduate le domande.</w:t>
      </w:r>
      <w:bookmarkEnd w:id="13"/>
      <w:r>
        <w:rPr>
          <w:rFonts w:ascii="Calibri" w:cs="Calibri" w:eastAsia="Calibri" w:hAnsi="Calibri"/>
          <w:sz w:val="21"/>
          <w:szCs w:val="21"/>
        </w:rPr>
        <w:t xml:space="preserve"> Le tutele dipendono dal vizio accertato. Il d.lgs. 23 e l'art. 18 permettono al giudice di applicare le tutele maggiori solo «sulla base della domanda del lavoratore» (art. 4 d.lgs. 23; art. 18, sesto e settimo comma): </w:t>
      </w:r>
      <w:r>
        <w:rPr>
          <w:rFonts w:ascii="Calibri" w:cs="Calibri" w:eastAsia="Calibri" w:hAnsi="Calibri"/>
          <w:b/>
          <w:bCs/>
          <w:sz w:val="21"/>
          <w:szCs w:val="21"/>
        </w:rPr>
        <w:t xml:space="preserve">chiedete tutto, in ordine decrescente</w:t>
      </w:r>
      <w:r>
        <w:rPr>
          <w:rFonts w:ascii="Calibri" w:cs="Calibri" w:eastAsia="Calibri" w:hAnsi="Calibri"/>
          <w:sz w:val="21"/>
          <w:szCs w:val="21"/>
        </w:rPr>
        <w:t xml:space="preserve">. Citate il testo </w:t>
      </w:r>
      <w:r>
        <w:rPr>
          <w:rFonts w:ascii="Calibri" w:cs="Calibri" w:eastAsia="Calibri" w:hAnsi="Calibri"/>
          <w:b/>
          <w:bCs/>
          <w:sz w:val="21"/>
          <w:szCs w:val="21"/>
        </w:rPr>
        <w:t xml:space="preserve">risultante</w:t>
      </w:r>
      <w:r>
        <w:rPr>
          <w:rFonts w:ascii="Calibri" w:cs="Calibri" w:eastAsia="Calibri" w:hAnsi="Calibri"/>
          <w:sz w:val="21"/>
          <w:szCs w:val="21"/>
        </w:rPr>
        <w:t xml:space="preserve"> dalle sentenze della Corte costituzionale.</w:t>
      </w:r>
    </w:p>
    <w:p>
      <w:pPr>
        <w:pStyle w:val="Corpo"/>
        <w:keepNext w:val="false"/>
        <w:spacing w:after="100" w:line="264"/>
        <w:jc w:val="left"/>
      </w:pPr>
      <w:bookmarkStart w:name="nota_B5" w:id="14"/>
      <w:r>
        <w:rPr>
          <w:rFonts w:ascii="Calibri" w:cs="Calibri" w:eastAsia="Calibri" w:hAnsi="Calibri"/>
          <w:b/>
          <w:bCs/>
          <w:sz w:val="21"/>
          <w:szCs w:val="21"/>
        </w:rPr>
        <w:t xml:space="preserve">B5 – Art. 441-bis.</w:t>
      </w:r>
      <w:bookmarkEnd w:id="14"/>
      <w:r>
        <w:rPr>
          <w:rFonts w:ascii="Calibri" w:cs="Calibri" w:eastAsia="Calibri" w:hAnsi="Calibri"/>
          <w:sz w:val="21"/>
          <w:szCs w:val="21"/>
        </w:rPr>
        <w:t xml:space="preserve"> Le cause sull'impugnazione dei licenziamenti con domanda di reintegrazione hanno carattere prioritario, «anche quando devono essere risolte questioni relative alla qualificazione del rapporto»; il giudice può ridurre i termini fino alla metà (minimo 20 giorni tra notifica e udienza) e riserva giorni del calendario a queste cause. Chiedetelo espressamente e motivate l'urgenza.</w:t>
      </w:r>
    </w:p>
    <w:p>
      <w:pPr>
        <w:pStyle w:val="Corpo"/>
        <w:keepNext w:val="false"/>
        <w:spacing w:after="100" w:line="264"/>
        <w:jc w:val="left"/>
      </w:pPr>
      <w:bookmarkStart w:name="nota_B6" w:id="15"/>
      <w:r>
        <w:rPr>
          <w:rFonts w:ascii="Calibri" w:cs="Calibri" w:eastAsia="Calibri" w:hAnsi="Calibri"/>
          <w:b/>
          <w:bCs/>
          <w:sz w:val="21"/>
          <w:szCs w:val="21"/>
        </w:rPr>
        <w:t xml:space="preserve">B6 – Contributo e dichiarazioni.</w:t>
      </w:r>
      <w:bookmarkEnd w:id="15"/>
      <w:r>
        <w:rPr>
          <w:rFonts w:ascii="Calibri" w:cs="Calibri" w:eastAsia="Calibri" w:hAnsi="Calibri"/>
          <w:sz w:val="21"/>
          <w:szCs w:val="21"/>
        </w:rPr>
        <w:t xml:space="preserve"> Valore e ragione dell'esenzione </w:t>
      </w:r>
      <w:r>
        <w:rPr>
          <w:rFonts w:ascii="Calibri" w:cs="Calibri" w:eastAsia="Calibri" w:hAnsi="Calibri"/>
          <w:b/>
          <w:bCs/>
          <w:sz w:val="21"/>
          <w:szCs w:val="21"/>
        </w:rPr>
        <w:t xml:space="preserve">nelle conclusioni</w:t>
      </w:r>
      <w:r>
        <w:rPr>
          <w:rFonts w:ascii="Calibri" w:cs="Calibri" w:eastAsia="Calibri" w:hAnsi="Calibri"/>
          <w:sz w:val="21"/>
          <w:szCs w:val="21"/>
        </w:rPr>
        <w:t xml:space="preserve"> (artt. 14, comma 2, e 10, comma 6, d.P.R. 115/2002). Codice fiscale della parte nell'atto (art. 13, comma 3-bis).</w:t>
      </w:r>
    </w:p>
    <w:p>
      <w:pPr>
        <w:pStyle w:val="Corpo"/>
        <w:keepNext w:val="false"/>
        <w:spacing w:after="100" w:line="264"/>
        <w:jc w:val="left"/>
      </w:pPr>
      <w:bookmarkStart w:name="nota_B7" w:id="16"/>
      <w:r>
        <w:rPr>
          <w:rFonts w:ascii="Calibri" w:cs="Calibri" w:eastAsia="Calibri" w:hAnsi="Calibri"/>
          <w:b/>
          <w:bCs/>
          <w:sz w:val="21"/>
          <w:szCs w:val="21"/>
        </w:rPr>
        <w:t xml:space="preserve">B7 – Prove.</w:t>
      </w:r>
      <w:bookmarkEnd w:id="16"/>
      <w:r>
        <w:rPr>
          <w:rFonts w:ascii="Calibri" w:cs="Calibri" w:eastAsia="Calibri" w:hAnsi="Calibri"/>
          <w:sz w:val="21"/>
          <w:szCs w:val="21"/>
        </w:rPr>
        <w:t xml:space="preserve"> «L'indicazione specifica dei mezzi di prova» e dei documenti va nel ricorso (art. 414, n. 5). Capitoli specifici, testimoni indicati, documenti depositati con il ricorso (art. 415, primo comma).</w:t>
      </w:r>
    </w:p>
    <w:p>
      <w:pPr>
        <w:pStyle w:val="Heading2"/>
      </w:pPr>
      <w:r>
        <w:rPr>
          <w:rFonts w:ascii="Georgia" w:cs="Georgia" w:eastAsia="Georgia" w:hAnsi="Georgia"/>
          <w:b/>
          <w:bCs/>
        </w:rPr>
        <w:t xml:space="preserve">8. Errori frequenti</w:t>
      </w:r>
    </w:p>
    <w:p>
      <w:pPr>
        <w:pStyle w:val="Corpo"/>
        <w:spacing w:after="70" w:line="264"/>
        <w:ind w:left="425" w:hanging="425"/>
        <w:jc w:val="left"/>
      </w:pPr>
      <w:r>
        <w:rPr>
          <w:rFonts w:ascii="Calibri" w:cs="Calibri" w:eastAsia="Calibri" w:hAnsi="Calibri"/>
          <w:b/>
          <w:bCs/>
          <w:color w:val="2F5546"/>
          <w:sz w:val="21"/>
          <w:szCs w:val="21"/>
        </w:rPr>
        <w:t xml:space="preserve">1.</w:t>
      </w:r>
      <w:r>
        <w:rPr>
          <w:rFonts w:ascii="Calibri" w:cs="Calibri" w:eastAsia="Calibri" w:hAnsi="Calibri"/>
          <w:sz w:val="21"/>
          <w:szCs w:val="21"/>
        </w:rPr>
        <w:tab/>
      </w:r>
      <w:r>
        <w:rPr>
          <w:rFonts w:ascii="Calibri" w:cs="Calibri" w:eastAsia="Calibri" w:hAnsi="Calibri"/>
          <w:b/>
          <w:bCs/>
          <w:sz w:val="21"/>
          <w:szCs w:val="21"/>
        </w:rPr>
        <w:t xml:space="preserve">Contare la sospensione feriale sui 60 o sui 180 giorni.</w:t>
      </w:r>
      <w:r>
        <w:rPr>
          <w:rFonts w:ascii="Calibri" w:cs="Calibri" w:eastAsia="Calibri" w:hAnsi="Calibri"/>
          <w:sz w:val="21"/>
          <w:szCs w:val="21"/>
        </w:rPr>
        <w:t xml:space="preserve"> </w:t>
      </w:r>
      <w:r>
        <w:rPr>
          <w:rFonts w:ascii="Calibri" w:cs="Calibri" w:eastAsia="Calibri" w:hAnsi="Calibri"/>
          <w:i/>
          <w:iCs/>
          <w:sz w:val="21"/>
          <w:szCs w:val="21"/>
        </w:rPr>
        <w:t xml:space="preserve">Rimedio:</w:t>
      </w:r>
      <w:r>
        <w:rPr>
          <w:rFonts w:ascii="Calibri" w:cs="Calibri" w:eastAsia="Calibri" w:hAnsi="Calibri"/>
          <w:sz w:val="21"/>
          <w:szCs w:val="21"/>
        </w:rPr>
        <w:t xml:space="preserve"> agosto si conta sempre (§ 3).</w:t>
      </w:r>
    </w:p>
    <w:p>
      <w:pPr>
        <w:pStyle w:val="Corpo"/>
        <w:spacing w:after="70" w:line="264"/>
        <w:ind w:left="425" w:hanging="425"/>
        <w:jc w:val="left"/>
      </w:pPr>
      <w:r>
        <w:rPr>
          <w:rFonts w:ascii="Calibri" w:cs="Calibri" w:eastAsia="Calibri" w:hAnsi="Calibri"/>
          <w:b/>
          <w:bCs/>
          <w:color w:val="2F5546"/>
          <w:sz w:val="21"/>
          <w:szCs w:val="21"/>
        </w:rPr>
        <w:t xml:space="preserve">2.</w:t>
      </w:r>
      <w:r>
        <w:rPr>
          <w:rFonts w:ascii="Calibri" w:cs="Calibri" w:eastAsia="Calibri" w:hAnsi="Calibri"/>
          <w:sz w:val="21"/>
          <w:szCs w:val="21"/>
        </w:rPr>
        <w:tab/>
      </w:r>
      <w:r>
        <w:rPr>
          <w:rFonts w:ascii="Calibri" w:cs="Calibri" w:eastAsia="Calibri" w:hAnsi="Calibri"/>
          <w:b/>
          <w:bCs/>
          <w:sz w:val="21"/>
          <w:szCs w:val="21"/>
        </w:rPr>
        <w:t xml:space="preserve">Fermarsi alla lettera.</w:t>
      </w:r>
      <w:r>
        <w:rPr>
          <w:rFonts w:ascii="Calibri" w:cs="Calibri" w:eastAsia="Calibri" w:hAnsi="Calibri"/>
          <w:sz w:val="21"/>
          <w:szCs w:val="21"/>
        </w:rPr>
        <w:t xml:space="preserve"> L'impugnazione «è inefficace» se entro 180 giorni non segue il ricorso o la richiesta di conciliazione o arbitrato. </w:t>
      </w:r>
      <w:r>
        <w:rPr>
          <w:rFonts w:ascii="Calibri" w:cs="Calibri" w:eastAsia="Calibri" w:hAnsi="Calibri"/>
          <w:i/>
          <w:iCs/>
          <w:sz w:val="21"/>
          <w:szCs w:val="21"/>
        </w:rPr>
        <w:t xml:space="preserve">Rimedio:</w:t>
      </w:r>
      <w:r>
        <w:rPr>
          <w:rFonts w:ascii="Calibri" w:cs="Calibri" w:eastAsia="Calibri" w:hAnsi="Calibri"/>
          <w:sz w:val="21"/>
          <w:szCs w:val="21"/>
        </w:rPr>
        <w:t xml:space="preserve"> in agenda la scadenza dei 180 giorni il giorno stesso in cui parte la lettera.</w:t>
      </w:r>
    </w:p>
    <w:p>
      <w:pPr>
        <w:pStyle w:val="Corpo"/>
        <w:spacing w:after="70" w:line="264"/>
        <w:ind w:left="425" w:hanging="425"/>
        <w:jc w:val="left"/>
      </w:pPr>
      <w:r>
        <w:rPr>
          <w:rFonts w:ascii="Calibri" w:cs="Calibri" w:eastAsia="Calibri" w:hAnsi="Calibri"/>
          <w:b/>
          <w:bCs/>
          <w:color w:val="2F5546"/>
          <w:sz w:val="21"/>
          <w:szCs w:val="21"/>
        </w:rPr>
        <w:t xml:space="preserve">3.</w:t>
      </w:r>
      <w:r>
        <w:rPr>
          <w:rFonts w:ascii="Calibri" w:cs="Calibri" w:eastAsia="Calibri" w:hAnsi="Calibri"/>
          <w:sz w:val="21"/>
          <w:szCs w:val="21"/>
        </w:rPr>
        <w:tab/>
      </w:r>
      <w:r>
        <w:rPr>
          <w:rFonts w:ascii="Calibri" w:cs="Calibri" w:eastAsia="Calibri" w:hAnsi="Calibri"/>
          <w:b/>
          <w:bCs/>
          <w:sz w:val="21"/>
          <w:szCs w:val="21"/>
        </w:rPr>
        <w:t xml:space="preserve">Contare i 180 giorni dalla scadenza dei 60.</w:t>
      </w:r>
      <w:r>
        <w:rPr>
          <w:rFonts w:ascii="Calibri" w:cs="Calibri" w:eastAsia="Calibri" w:hAnsi="Calibri"/>
          <w:sz w:val="21"/>
          <w:szCs w:val="21"/>
        </w:rPr>
        <w:t xml:space="preserve"> Il dies a quo non è scritto nella norma. </w:t>
      </w:r>
      <w:r>
        <w:rPr>
          <w:rFonts w:ascii="Calibri" w:cs="Calibri" w:eastAsia="Calibri" w:hAnsi="Calibri"/>
          <w:i/>
          <w:iCs/>
          <w:sz w:val="21"/>
          <w:szCs w:val="21"/>
        </w:rPr>
        <w:t xml:space="preserve">Rimedio:</w:t>
      </w:r>
      <w:r>
        <w:rPr>
          <w:rFonts w:ascii="Calibri" w:cs="Calibri" w:eastAsia="Calibri" w:hAnsi="Calibri"/>
          <w:sz w:val="21"/>
          <w:szCs w:val="21"/>
        </w:rPr>
        <w:t xml:space="preserve"> contate dal giorno in cui avete inviato l'impugnazione.</w:t>
      </w:r>
    </w:p>
    <w:p>
      <w:pPr>
        <w:pStyle w:val="Corpo"/>
        <w:spacing w:after="70" w:line="264"/>
        <w:ind w:left="425" w:hanging="425"/>
        <w:jc w:val="left"/>
      </w:pPr>
      <w:r>
        <w:rPr>
          <w:rFonts w:ascii="Calibri" w:cs="Calibri" w:eastAsia="Calibri" w:hAnsi="Calibri"/>
          <w:b/>
          <w:bCs/>
          <w:color w:val="2F5546"/>
          <w:sz w:val="21"/>
          <w:szCs w:val="21"/>
        </w:rPr>
        <w:t xml:space="preserve">4.</w:t>
      </w:r>
      <w:r>
        <w:rPr>
          <w:rFonts w:ascii="Calibri" w:cs="Calibri" w:eastAsia="Calibri" w:hAnsi="Calibri"/>
          <w:sz w:val="21"/>
          <w:szCs w:val="21"/>
        </w:rPr>
        <w:tab/>
      </w:r>
      <w:r>
        <w:rPr>
          <w:rFonts w:ascii="Calibri" w:cs="Calibri" w:eastAsia="Calibri" w:hAnsi="Calibri"/>
          <w:b/>
          <w:bCs/>
          <w:sz w:val="21"/>
          <w:szCs w:val="21"/>
        </w:rPr>
        <w:t xml:space="preserve">Usare il rito Fornero</w:t>
      </w:r>
      <w:r>
        <w:rPr>
          <w:rFonts w:ascii="Calibri" w:cs="Calibri" w:eastAsia="Calibri" w:hAnsi="Calibri"/>
          <w:sz w:val="21"/>
          <w:szCs w:val="21"/>
        </w:rPr>
        <w:t xml:space="preserve"> o modelli «ex art. 1, comma 48, l. 92/2012». </w:t>
      </w:r>
      <w:r>
        <w:rPr>
          <w:rFonts w:ascii="Calibri" w:cs="Calibri" w:eastAsia="Calibri" w:hAnsi="Calibri"/>
          <w:i/>
          <w:iCs/>
          <w:sz w:val="21"/>
          <w:szCs w:val="21"/>
        </w:rPr>
        <w:t xml:space="preserve">Rimedio:</w:t>
      </w:r>
      <w:r>
        <w:rPr>
          <w:rFonts w:ascii="Calibri" w:cs="Calibri" w:eastAsia="Calibri" w:hAnsi="Calibri"/>
          <w:sz w:val="21"/>
          <w:szCs w:val="21"/>
        </w:rPr>
        <w:t xml:space="preserve"> artt. 414 e 441-bis c.p.c.</w:t>
      </w:r>
    </w:p>
    <w:p>
      <w:pPr>
        <w:pStyle w:val="Corpo"/>
        <w:spacing w:after="70" w:line="264"/>
        <w:ind w:left="425" w:hanging="425"/>
        <w:jc w:val="left"/>
      </w:pPr>
      <w:r>
        <w:rPr>
          <w:rFonts w:ascii="Calibri" w:cs="Calibri" w:eastAsia="Calibri" w:hAnsi="Calibri"/>
          <w:b/>
          <w:bCs/>
          <w:color w:val="2F5546"/>
          <w:sz w:val="21"/>
          <w:szCs w:val="21"/>
        </w:rPr>
        <w:t xml:space="preserve">5.</w:t>
      </w:r>
      <w:r>
        <w:rPr>
          <w:rFonts w:ascii="Calibri" w:cs="Calibri" w:eastAsia="Calibri" w:hAnsi="Calibri"/>
          <w:sz w:val="21"/>
          <w:szCs w:val="21"/>
        </w:rPr>
        <w:tab/>
      </w:r>
      <w:r>
        <w:rPr>
          <w:rFonts w:ascii="Calibri" w:cs="Calibri" w:eastAsia="Calibri" w:hAnsi="Calibri"/>
          <w:b/>
          <w:bCs/>
          <w:sz w:val="21"/>
          <w:szCs w:val="21"/>
        </w:rPr>
        <w:t xml:space="preserve">Citare l'art. 3, comma 1, d.lgs. 23/2015 con le «due mensilità per anno»</w:t>
      </w:r>
      <w:r>
        <w:rPr>
          <w:rFonts w:ascii="Calibri" w:cs="Calibri" w:eastAsia="Calibri" w:hAnsi="Calibri"/>
          <w:sz w:val="21"/>
          <w:szCs w:val="21"/>
        </w:rPr>
        <w:t xml:space="preserve">, o l'art. 9 con il tetto di sei mensilità. </w:t>
      </w:r>
      <w:r>
        <w:rPr>
          <w:rFonts w:ascii="Calibri" w:cs="Calibri" w:eastAsia="Calibri" w:hAnsi="Calibri"/>
          <w:i/>
          <w:iCs/>
          <w:sz w:val="21"/>
          <w:szCs w:val="21"/>
        </w:rPr>
        <w:t xml:space="preserve">Rimedio:</w:t>
      </w:r>
      <w:r>
        <w:rPr>
          <w:rFonts w:ascii="Calibri" w:cs="Calibri" w:eastAsia="Calibri" w:hAnsi="Calibri"/>
          <w:sz w:val="21"/>
          <w:szCs w:val="21"/>
        </w:rPr>
        <w:t xml:space="preserve"> testo risultante dalle sentenze n. 194/2018 e n. 118/2025.</w:t>
      </w:r>
    </w:p>
    <w:p>
      <w:pPr>
        <w:pStyle w:val="Corpo"/>
        <w:spacing w:after="70" w:line="264"/>
        <w:ind w:left="425" w:hanging="425"/>
        <w:jc w:val="left"/>
      </w:pPr>
      <w:r>
        <w:rPr>
          <w:rFonts w:ascii="Calibri" w:cs="Calibri" w:eastAsia="Calibri" w:hAnsi="Calibri"/>
          <w:b/>
          <w:bCs/>
          <w:color w:val="2F5546"/>
          <w:sz w:val="21"/>
          <w:szCs w:val="21"/>
        </w:rPr>
        <w:t xml:space="preserve">6.</w:t>
      </w:r>
      <w:r>
        <w:rPr>
          <w:rFonts w:ascii="Calibri" w:cs="Calibri" w:eastAsia="Calibri" w:hAnsi="Calibri"/>
          <w:sz w:val="21"/>
          <w:szCs w:val="21"/>
        </w:rPr>
        <w:tab/>
      </w:r>
      <w:r>
        <w:rPr>
          <w:rFonts w:ascii="Calibri" w:cs="Calibri" w:eastAsia="Calibri" w:hAnsi="Calibri"/>
          <w:b/>
          <w:bCs/>
          <w:sz w:val="21"/>
          <w:szCs w:val="21"/>
        </w:rPr>
        <w:t xml:space="preserve">Domanda solo indennitaria</w:t>
      </w:r>
      <w:r>
        <w:rPr>
          <w:rFonts w:ascii="Calibri" w:cs="Calibri" w:eastAsia="Calibri" w:hAnsi="Calibri"/>
          <w:sz w:val="21"/>
          <w:szCs w:val="21"/>
        </w:rPr>
        <w:t xml:space="preserve"> quando c'erano gli elementi per la nullità o per l'insussistenza del fatto. </w:t>
      </w:r>
      <w:r>
        <w:rPr>
          <w:rFonts w:ascii="Calibri" w:cs="Calibri" w:eastAsia="Calibri" w:hAnsi="Calibri"/>
          <w:i/>
          <w:iCs/>
          <w:sz w:val="21"/>
          <w:szCs w:val="21"/>
        </w:rPr>
        <w:t xml:space="preserve">Rimedio:</w:t>
      </w:r>
      <w:r>
        <w:rPr>
          <w:rFonts w:ascii="Calibri" w:cs="Calibri" w:eastAsia="Calibri" w:hAnsi="Calibri"/>
          <w:sz w:val="21"/>
          <w:szCs w:val="21"/>
        </w:rPr>
        <w:t xml:space="preserve"> domande graduate (B4).</w:t>
      </w:r>
    </w:p>
    <w:p>
      <w:pPr>
        <w:pStyle w:val="Corpo"/>
        <w:spacing w:after="70" w:line="264"/>
        <w:ind w:left="425" w:hanging="425"/>
        <w:jc w:val="left"/>
      </w:pPr>
      <w:r>
        <w:rPr>
          <w:rFonts w:ascii="Calibri" w:cs="Calibri" w:eastAsia="Calibri" w:hAnsi="Calibri"/>
          <w:b/>
          <w:bCs/>
          <w:color w:val="2F5546"/>
          <w:sz w:val="21"/>
          <w:szCs w:val="21"/>
        </w:rPr>
        <w:t xml:space="preserve">7.</w:t>
      </w:r>
      <w:r>
        <w:rPr>
          <w:rFonts w:ascii="Calibri" w:cs="Calibri" w:eastAsia="Calibri" w:hAnsi="Calibri"/>
          <w:sz w:val="21"/>
          <w:szCs w:val="21"/>
        </w:rPr>
        <w:tab/>
      </w:r>
      <w:r>
        <w:rPr>
          <w:rFonts w:ascii="Calibri" w:cs="Calibri" w:eastAsia="Calibri" w:hAnsi="Calibri"/>
          <w:b/>
          <w:bCs/>
          <w:sz w:val="21"/>
          <w:szCs w:val="21"/>
        </w:rPr>
        <w:t xml:space="preserve">Base di calcolo sbagliata.</w:t>
      </w:r>
      <w:r>
        <w:rPr>
          <w:rFonts w:ascii="Calibri" w:cs="Calibri" w:eastAsia="Calibri" w:hAnsi="Calibri"/>
          <w:sz w:val="21"/>
          <w:szCs w:val="21"/>
        </w:rPr>
        <w:t xml:space="preserve"> D.lgs. 23: «ultima retribuzione di riferimento per il calcolo del TFR»; art. 18 e art. 8 l. 604: «retribuzione globale di fatto». </w:t>
      </w:r>
      <w:r>
        <w:rPr>
          <w:rFonts w:ascii="Calibri" w:cs="Calibri" w:eastAsia="Calibri" w:hAnsi="Calibri"/>
          <w:i/>
          <w:iCs/>
          <w:sz w:val="21"/>
          <w:szCs w:val="21"/>
        </w:rPr>
        <w:t xml:space="preserve">Rimedio:</w:t>
      </w:r>
      <w:r>
        <w:rPr>
          <w:rFonts w:ascii="Calibri" w:cs="Calibri" w:eastAsia="Calibri" w:hAnsi="Calibri"/>
          <w:sz w:val="21"/>
          <w:szCs w:val="21"/>
        </w:rPr>
        <w:t xml:space="preserve"> prospetto paga alla mano.</w:t>
      </w:r>
    </w:p>
    <w:p>
      <w:pPr>
        <w:pStyle w:val="Corpo"/>
        <w:spacing w:after="70" w:line="264"/>
        <w:ind w:left="425" w:hanging="425"/>
        <w:jc w:val="left"/>
      </w:pPr>
      <w:r>
        <w:rPr>
          <w:rFonts w:ascii="Calibri" w:cs="Calibri" w:eastAsia="Calibri" w:hAnsi="Calibri"/>
          <w:b/>
          <w:bCs/>
          <w:color w:val="2F5546"/>
          <w:sz w:val="21"/>
          <w:szCs w:val="21"/>
        </w:rPr>
        <w:t xml:space="preserve">8.</w:t>
      </w:r>
      <w:r>
        <w:rPr>
          <w:rFonts w:ascii="Calibri" w:cs="Calibri" w:eastAsia="Calibri" w:hAnsi="Calibri"/>
          <w:sz w:val="21"/>
          <w:szCs w:val="21"/>
        </w:rPr>
        <w:tab/>
      </w:r>
      <w:r>
        <w:rPr>
          <w:rFonts w:ascii="Calibri" w:cs="Calibri" w:eastAsia="Calibri" w:hAnsi="Calibri"/>
          <w:b/>
          <w:bCs/>
          <w:sz w:val="21"/>
          <w:szCs w:val="21"/>
        </w:rPr>
        <w:t xml:space="preserve">Dimensioni del datore non provate.</w:t>
      </w:r>
      <w:r>
        <w:rPr>
          <w:rFonts w:ascii="Calibri" w:cs="Calibri" w:eastAsia="Calibri" w:hAnsi="Calibri"/>
          <w:sz w:val="21"/>
          <w:szCs w:val="21"/>
        </w:rPr>
        <w:t xml:space="preserve"> </w:t>
      </w:r>
      <w:r>
        <w:rPr>
          <w:rFonts w:ascii="Calibri" w:cs="Calibri" w:eastAsia="Calibri" w:hAnsi="Calibri"/>
          <w:i/>
          <w:iCs/>
          <w:sz w:val="21"/>
          <w:szCs w:val="21"/>
        </w:rPr>
        <w:t xml:space="preserve">Rimedio:</w:t>
      </w:r>
      <w:r>
        <w:rPr>
          <w:rFonts w:ascii="Calibri" w:cs="Calibri" w:eastAsia="Calibri" w:hAnsi="Calibri"/>
          <w:sz w:val="21"/>
          <w:szCs w:val="21"/>
        </w:rPr>
        <w:t xml:space="preserve"> allegare quanto si ha e chiedere l'esibizione del libro unico; ricordare che il computo segue l'art. 18, nono comma.</w:t>
      </w:r>
    </w:p>
    <w:p>
      <w:pPr>
        <w:pStyle w:val="Corpo"/>
        <w:spacing w:after="70" w:line="264"/>
        <w:ind w:left="425" w:hanging="425"/>
        <w:jc w:val="left"/>
      </w:pPr>
      <w:r>
        <w:rPr>
          <w:rFonts w:ascii="Calibri" w:cs="Calibri" w:eastAsia="Calibri" w:hAnsi="Calibri"/>
          <w:b/>
          <w:bCs/>
          <w:color w:val="2F5546"/>
          <w:sz w:val="21"/>
          <w:szCs w:val="21"/>
        </w:rPr>
        <w:t xml:space="preserve">9.</w:t>
      </w:r>
      <w:r>
        <w:rPr>
          <w:rFonts w:ascii="Calibri" w:cs="Calibri" w:eastAsia="Calibri" w:hAnsi="Calibri"/>
          <w:sz w:val="21"/>
          <w:szCs w:val="21"/>
        </w:rPr>
        <w:tab/>
      </w:r>
      <w:r>
        <w:rPr>
          <w:rFonts w:ascii="Calibri" w:cs="Calibri" w:eastAsia="Calibri" w:hAnsi="Calibri"/>
          <w:b/>
          <w:bCs/>
          <w:sz w:val="21"/>
          <w:szCs w:val="21"/>
        </w:rPr>
        <w:t xml:space="preserve">PEC del convenuto non indicata</w:t>
      </w:r>
      <w:r>
        <w:rPr>
          <w:rFonts w:ascii="Calibri" w:cs="Calibri" w:eastAsia="Calibri" w:hAnsi="Calibri"/>
          <w:sz w:val="21"/>
          <w:szCs w:val="21"/>
        </w:rPr>
        <w:t xml:space="preserve"> (art. 414, n. 2) e </w:t>
      </w:r>
      <w:r>
        <w:rPr>
          <w:rFonts w:ascii="Calibri" w:cs="Calibri" w:eastAsia="Calibri" w:hAnsi="Calibri"/>
          <w:b/>
          <w:bCs/>
          <w:sz w:val="21"/>
          <w:szCs w:val="21"/>
        </w:rPr>
        <w:t xml:space="preserve">codice fiscale omesso</w:t>
      </w:r>
      <w:r>
        <w:rPr>
          <w:rFonts w:ascii="Calibri" w:cs="Calibri" w:eastAsia="Calibri" w:hAnsi="Calibri"/>
          <w:sz w:val="21"/>
          <w:szCs w:val="21"/>
        </w:rPr>
        <w:t xml:space="preserve"> (contributo +50%).</w:t>
      </w:r>
    </w:p>
    <w:p>
      <w:pPr>
        <w:pStyle w:val="Corpo"/>
        <w:spacing w:after="70" w:line="264"/>
        <w:ind w:left="425" w:hanging="425"/>
        <w:jc w:val="left"/>
      </w:pPr>
      <w:r>
        <w:rPr>
          <w:rFonts w:ascii="Calibri" w:cs="Calibri" w:eastAsia="Calibri" w:hAnsi="Calibri"/>
          <w:b/>
          <w:bCs/>
          <w:color w:val="2F5546"/>
          <w:sz w:val="21"/>
          <w:szCs w:val="21"/>
        </w:rPr>
        <w:t xml:space="preserve">10.</w:t>
      </w:r>
      <w:r>
        <w:rPr>
          <w:rFonts w:ascii="Calibri" w:cs="Calibri" w:eastAsia="Calibri" w:hAnsi="Calibri"/>
          <w:sz w:val="21"/>
          <w:szCs w:val="21"/>
        </w:rPr>
        <w:tab/>
      </w:r>
      <w:r>
        <w:rPr>
          <w:rFonts w:ascii="Calibri" w:cs="Calibri" w:eastAsia="Calibri" w:hAnsi="Calibri"/>
          <w:b/>
          <w:bCs/>
          <w:sz w:val="21"/>
          <w:szCs w:val="21"/>
        </w:rPr>
        <w:t xml:space="preserve">Prove generiche</w:t>
      </w:r>
      <w:r>
        <w:rPr>
          <w:rFonts w:ascii="Calibri" w:cs="Calibri" w:eastAsia="Calibri" w:hAnsi="Calibri"/>
          <w:sz w:val="21"/>
          <w:szCs w:val="21"/>
        </w:rPr>
        <w:t xml:space="preserve"> («come da documentazione»). </w:t>
      </w:r>
      <w:r>
        <w:rPr>
          <w:rFonts w:ascii="Calibri" w:cs="Calibri" w:eastAsia="Calibri" w:hAnsi="Calibri"/>
          <w:i/>
          <w:iCs/>
          <w:sz w:val="21"/>
          <w:szCs w:val="21"/>
        </w:rPr>
        <w:t xml:space="preserve">Rimedio:</w:t>
      </w:r>
      <w:r>
        <w:rPr>
          <w:rFonts w:ascii="Calibri" w:cs="Calibri" w:eastAsia="Calibri" w:hAnsi="Calibri"/>
          <w:sz w:val="21"/>
          <w:szCs w:val="21"/>
        </w:rPr>
        <w:t xml:space="preserve"> capitoli e documenti specifici nel ricorso.</w:t>
      </w:r>
    </w:p>
    <w:p>
      <w:pPr>
        <w:pStyle w:val="Heading2"/>
      </w:pPr>
      <w:r>
        <w:rPr>
          <w:rFonts w:ascii="Georgia" w:cs="Georgia" w:eastAsia="Georgia" w:hAnsi="Georgia"/>
          <w:b/>
          <w:bCs/>
        </w:rPr>
        <w:t xml:space="preserve">9. Varianti e casi particolari: le tutele come sono oggi</w:t>
      </w:r>
    </w:p>
    <w:p>
      <w:pPr>
        <w:pStyle w:val="Corpo"/>
        <w:keepNext/>
        <w:spacing w:after="100" w:before="100" w:line="264"/>
        <w:jc w:val="left"/>
      </w:pPr>
      <w:r>
        <w:rPr>
          <w:rFonts w:ascii="Calibri" w:cs="Calibri" w:eastAsia="Calibri" w:hAnsi="Calibri"/>
          <w:b/>
          <w:bCs/>
          <w:sz w:val="21"/>
          <w:szCs w:val="21"/>
        </w:rPr>
        <w:t xml:space="preserve">A) Tutele crescenti (assunti dal 7 marzo 2015; conversioni successive; datori diventati «grandi» con assunzioni successive: art. 1 d.lgs. 23/2015)</w:t>
      </w:r>
    </w:p>
    <w:tbl>
      <w:tblPr>
        <w:tblW w:type="dxa" w:w="9638"/>
        <w:tblBorders>
          <w:top w:val="single" w:color="D9DAD2" w:sz="4"/>
          <w:left w:val="none" w:color="FFFFFF" w:sz="0"/>
          <w:bottom w:val="single" w:color="D9DAD2" w:sz="4"/>
          <w:right w:val="none" w:color="FFFFFF" w:sz="0"/>
          <w:insideH w:val="single" w:color="D9DAD2" w:sz="4"/>
          <w:insideV w:val="none" w:color="FFFFFF" w:sz="0"/>
        </w:tblBorders>
        <w:tblLayout w:type="fixed"/>
      </w:tblPr>
      <w:tblGrid>
        <w:gridCol w:w="3628"/>
        <w:gridCol w:w="3628"/>
        <w:gridCol w:w="2382"/>
      </w:tblGrid>
      <w:tr>
        <w:trPr>
          <w:cantSplit/>
          <w:tblHeader/>
        </w:trPr>
        <w:tc>
          <w:tcPr>
            <w:tcW w:type="dxa" w:w="3628"/>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Vizio</w:t>
            </w:r>
          </w:p>
        </w:tc>
        <w:tc>
          <w:tcPr>
            <w:tcW w:type="dxa" w:w="3628"/>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Tutela</w:t>
            </w:r>
          </w:p>
        </w:tc>
        <w:tc>
          <w:tcPr>
            <w:tcW w:type="dxa" w:w="2382"/>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Fonte</w:t>
            </w:r>
          </w:p>
        </w:tc>
      </w:tr>
      <w:tr>
        <w:trPr>
          <w:cantSplit w:val="false"/>
        </w:trPr>
        <w:tc>
          <w:tcPr>
            <w:tcW w:type="dxa" w:w="3628"/>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Nullità (discriminazione, divieti di legge, anche se la nullità non è «espressamente» prevista: la Corte, nella sent. 22/2024, cita tra gli esempi il licenziamento intimato durante il comporto in violazione dell'art. 2110 c.c. e quello ritorsivo ex art. 1345 c.c.), licenziamento orale, difetto di giustificazione per disabilità</w:t>
            </w:r>
          </w:p>
        </w:tc>
        <w:tc>
          <w:tcPr>
            <w:tcW w:type="dxa" w:w="3628"/>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Reintegra + indennità dal licenziamento alla reintegra (dedotto l'aliunde perceptum), </w:t>
            </w:r>
            <w:r>
              <w:rPr>
                <w:rFonts w:ascii="Calibri" w:cs="Calibri" w:eastAsia="Calibri" w:hAnsi="Calibri"/>
                <w:b/>
                <w:bCs/>
                <w:sz w:val="18"/>
                <w:szCs w:val="18"/>
              </w:rPr>
              <w:t xml:space="preserve">minimo 5 mensilità</w:t>
            </w:r>
            <w:r>
              <w:rPr>
                <w:rFonts w:ascii="Calibri" w:cs="Calibri" w:eastAsia="Calibri" w:hAnsi="Calibri"/>
                <w:b w:val="false"/>
                <w:bCs w:val="false"/>
                <w:sz w:val="18"/>
                <w:szCs w:val="18"/>
              </w:rPr>
              <w:t xml:space="preserve">, contributi; opzione per </w:t>
            </w:r>
            <w:r>
              <w:rPr>
                <w:rFonts w:ascii="Calibri" w:cs="Calibri" w:eastAsia="Calibri" w:hAnsi="Calibri"/>
                <w:b/>
                <w:bCs/>
                <w:sz w:val="18"/>
                <w:szCs w:val="18"/>
              </w:rPr>
              <w:t xml:space="preserve">15 mensilità</w:t>
            </w:r>
          </w:p>
        </w:tc>
        <w:tc>
          <w:tcPr>
            <w:tcW w:type="dxa" w:w="2382"/>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art. 2, commi 1-4; C. cost. 22/2024</w:t>
            </w:r>
          </w:p>
        </w:tc>
      </w:tr>
      <w:tr>
        <w:trPr>
          <w:cantSplit/>
        </w:trPr>
        <w:tc>
          <w:tcPr>
            <w:tcW w:type="dxa" w:w="3628"/>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Disciplinare con </w:t>
            </w:r>
            <w:r>
              <w:rPr>
                <w:rFonts w:ascii="Calibri" w:cs="Calibri" w:eastAsia="Calibri" w:hAnsi="Calibri"/>
                <w:b/>
                <w:bCs/>
                <w:sz w:val="18"/>
                <w:szCs w:val="18"/>
              </w:rPr>
              <w:t xml:space="preserve">fatto materiale insussistente</w:t>
            </w:r>
            <w:r>
              <w:rPr>
                <w:rFonts w:ascii="Calibri" w:cs="Calibri" w:eastAsia="Calibri" w:hAnsi="Calibri"/>
                <w:b w:val="false"/>
                <w:bCs w:val="false"/>
                <w:sz w:val="18"/>
                <w:szCs w:val="18"/>
              </w:rPr>
              <w:t xml:space="preserve"> (o fatto punito dal CCNL con sanzione conservativa)</w:t>
            </w:r>
          </w:p>
        </w:tc>
        <w:tc>
          <w:tcPr>
            <w:tcW w:type="dxa" w:w="3628"/>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Reintegra + indennità </w:t>
            </w:r>
            <w:r>
              <w:rPr>
                <w:rFonts w:ascii="Calibri" w:cs="Calibri" w:eastAsia="Calibri" w:hAnsi="Calibri"/>
                <w:b/>
                <w:bCs/>
                <w:sz w:val="18"/>
                <w:szCs w:val="18"/>
              </w:rPr>
              <w:t xml:space="preserve">massimo 12 mensilità</w:t>
            </w:r>
            <w:r>
              <w:rPr>
                <w:rFonts w:ascii="Calibri" w:cs="Calibri" w:eastAsia="Calibri" w:hAnsi="Calibri"/>
                <w:b w:val="false"/>
                <w:bCs w:val="false"/>
                <w:sz w:val="18"/>
                <w:szCs w:val="18"/>
              </w:rPr>
              <w:t xml:space="preserve"> (dedotti aliunde perceptum e percipiendum), contributi</w:t>
            </w:r>
          </w:p>
        </w:tc>
        <w:tc>
          <w:tcPr>
            <w:tcW w:type="dxa" w:w="2382"/>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art. 3, comma 2; C. cost. 129/2024 (interpretativa)</w:t>
            </w:r>
          </w:p>
        </w:tc>
      </w:tr>
      <w:tr>
        <w:trPr>
          <w:cantSplit/>
        </w:trPr>
        <w:tc>
          <w:tcPr>
            <w:tcW w:type="dxa" w:w="3628"/>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bCs/>
                <w:sz w:val="18"/>
                <w:szCs w:val="18"/>
              </w:rPr>
              <w:t xml:space="preserve">GMO con fatto materiale insussistente</w:t>
            </w:r>
            <w:r>
              <w:rPr>
                <w:rFonts w:ascii="Calibri" w:cs="Calibri" w:eastAsia="Calibri" w:hAnsi="Calibri"/>
                <w:b w:val="false"/>
                <w:bCs w:val="false"/>
                <w:sz w:val="18"/>
                <w:szCs w:val="18"/>
              </w:rPr>
              <w:t xml:space="preserve"> (esclusa la sola violazione del repêchage)</w:t>
            </w:r>
          </w:p>
        </w:tc>
        <w:tc>
          <w:tcPr>
            <w:tcW w:type="dxa" w:w="3628"/>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Come sopra</w:t>
            </w:r>
          </w:p>
        </w:tc>
        <w:tc>
          <w:tcPr>
            <w:tcW w:type="dxa" w:w="2382"/>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art. 3, comma 2; C. cost. 128/2024</w:t>
            </w:r>
          </w:p>
        </w:tc>
      </w:tr>
      <w:tr>
        <w:trPr>
          <w:cantSplit/>
        </w:trPr>
        <w:tc>
          <w:tcPr>
            <w:tcW w:type="dxa" w:w="3628"/>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Mancanza di giusta causa o giustificato motivo (altri casi; repêchage violato)</w:t>
            </w:r>
          </w:p>
        </w:tc>
        <w:tc>
          <w:tcPr>
            <w:tcW w:type="dxa" w:w="3628"/>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Estinzione + indennità </w:t>
            </w:r>
            <w:r>
              <w:rPr>
                <w:rFonts w:ascii="Calibri" w:cs="Calibri" w:eastAsia="Calibri" w:hAnsi="Calibri"/>
                <w:b/>
                <w:bCs/>
                <w:sz w:val="18"/>
                <w:szCs w:val="18"/>
              </w:rPr>
              <w:t xml:space="preserve">6-36 mensilità</w:t>
            </w:r>
            <w:r>
              <w:rPr>
                <w:rFonts w:ascii="Calibri" w:cs="Calibri" w:eastAsia="Calibri" w:hAnsi="Calibri"/>
                <w:b w:val="false"/>
                <w:bCs w:val="false"/>
                <w:sz w:val="18"/>
                <w:szCs w:val="18"/>
              </w:rPr>
              <w:t xml:space="preserve"> (anzianità e altri criteri)</w:t>
            </w:r>
          </w:p>
        </w:tc>
        <w:tc>
          <w:tcPr>
            <w:tcW w:type="dxa" w:w="2382"/>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art. 3, comma 1; d.l. 87/2018; C. cost. 194/2018</w:t>
            </w:r>
          </w:p>
        </w:tc>
      </w:tr>
      <w:tr>
        <w:trPr>
          <w:cantSplit/>
        </w:trPr>
        <w:tc>
          <w:tcPr>
            <w:tcW w:type="dxa" w:w="3628"/>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Vizi formali e procedurali (motivazione; art. 7 St. lav.)</w:t>
            </w:r>
          </w:p>
        </w:tc>
        <w:tc>
          <w:tcPr>
            <w:tcW w:type="dxa" w:w="3628"/>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Indennità </w:t>
            </w:r>
            <w:r>
              <w:rPr>
                <w:rFonts w:ascii="Calibri" w:cs="Calibri" w:eastAsia="Calibri" w:hAnsi="Calibri"/>
                <w:b/>
                <w:bCs/>
                <w:sz w:val="18"/>
                <w:szCs w:val="18"/>
              </w:rPr>
              <w:t xml:space="preserve">2-12 mensilità</w:t>
            </w:r>
          </w:p>
        </w:tc>
        <w:tc>
          <w:tcPr>
            <w:tcW w:type="dxa" w:w="2382"/>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art. 4; C. cost. 150/2020</w:t>
            </w:r>
          </w:p>
        </w:tc>
      </w:tr>
      <w:tr>
        <w:trPr>
          <w:cantSplit/>
        </w:trPr>
        <w:tc>
          <w:tcPr>
            <w:tcW w:type="dxa" w:w="3628"/>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Datore sotto soglia</w:t>
            </w:r>
          </w:p>
        </w:tc>
        <w:tc>
          <w:tcPr>
            <w:tcW w:type="dxa" w:w="3628"/>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Niente reintegra attenuata dell'art. 3, comma 2; indennità </w:t>
            </w:r>
            <w:r>
              <w:rPr>
                <w:rFonts w:ascii="Calibri" w:cs="Calibri" w:eastAsia="Calibri" w:hAnsi="Calibri"/>
                <w:b/>
                <w:bCs/>
                <w:sz w:val="18"/>
                <w:szCs w:val="18"/>
              </w:rPr>
              <w:t xml:space="preserve">dimezzate</w:t>
            </w:r>
            <w:r>
              <w:rPr>
                <w:rFonts w:ascii="Calibri" w:cs="Calibri" w:eastAsia="Calibri" w:hAnsi="Calibri"/>
                <w:b w:val="false"/>
                <w:bCs w:val="false"/>
                <w:sz w:val="18"/>
                <w:szCs w:val="18"/>
              </w:rPr>
              <w:t xml:space="preserve"> (art. 3, comma 1: 3-18; art. 4: 1-6), senza tetto di 6</w:t>
            </w:r>
          </w:p>
        </w:tc>
        <w:tc>
          <w:tcPr>
            <w:tcW w:type="dxa" w:w="2382"/>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art. 9, comma 1; C. cost. 118/2025</w:t>
            </w:r>
          </w:p>
        </w:tc>
      </w:tr>
      <w:tr>
        <w:trPr>
          <w:cantSplit/>
        </w:trPr>
        <w:tc>
          <w:tcPr>
            <w:tcW w:type="dxa" w:w="3628"/>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Licenziamento collettivo senza forma scritta / violazione di procedure o criteri</w:t>
            </w:r>
          </w:p>
        </w:tc>
        <w:tc>
          <w:tcPr>
            <w:tcW w:type="dxa" w:w="3628"/>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Art. 2 / art. 3, comma 1</w:t>
            </w:r>
          </w:p>
        </w:tc>
        <w:tc>
          <w:tcPr>
            <w:tcW w:type="dxa" w:w="2382"/>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art. 10</w:t>
            </w:r>
          </w:p>
        </w:tc>
      </w:tr>
    </w:tbl>
    <w:p>
      <w:pPr>
        <w:spacing w:after="0" w:before="0" w:line="120"/>
      </w:pPr>
    </w:p>
    <w:p>
      <w:pPr>
        <w:pStyle w:val="Corpo"/>
        <w:keepNext/>
        <w:spacing w:after="100" w:before="100" w:line="264"/>
        <w:jc w:val="left"/>
      </w:pPr>
      <w:r>
        <w:rPr>
          <w:rFonts w:ascii="Calibri" w:cs="Calibri" w:eastAsia="Calibri" w:hAnsi="Calibri"/>
          <w:b/>
          <w:bCs/>
          <w:sz w:val="21"/>
          <w:szCs w:val="21"/>
        </w:rPr>
        <w:t xml:space="preserve">B) Art. 18 St. lav. (assunti prima del 7 marzo 2015, datore sopra soglia)</w:t>
      </w:r>
    </w:p>
    <w:tbl>
      <w:tblPr>
        <w:tblW w:type="dxa" w:w="9638"/>
        <w:tblBorders>
          <w:top w:val="single" w:color="D9DAD2" w:sz="4"/>
          <w:left w:val="none" w:color="FFFFFF" w:sz="0"/>
          <w:bottom w:val="single" w:color="D9DAD2" w:sz="4"/>
          <w:right w:val="none" w:color="FFFFFF" w:sz="0"/>
          <w:insideH w:val="single" w:color="D9DAD2" w:sz="4"/>
          <w:insideV w:val="none" w:color="FFFFFF" w:sz="0"/>
        </w:tblBorders>
        <w:tblLayout w:type="fixed"/>
      </w:tblPr>
      <w:tblGrid>
        <w:gridCol w:w="3860"/>
        <w:gridCol w:w="3860"/>
        <w:gridCol w:w="1918"/>
      </w:tblGrid>
      <w:tr>
        <w:trPr>
          <w:cantSplit/>
          <w:tblHeader/>
        </w:trPr>
        <w:tc>
          <w:tcPr>
            <w:tcW w:type="dxa" w:w="3860"/>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Vizio</w:t>
            </w:r>
          </w:p>
        </w:tc>
        <w:tc>
          <w:tcPr>
            <w:tcW w:type="dxa" w:w="3860"/>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Tutela</w:t>
            </w:r>
          </w:p>
        </w:tc>
        <w:tc>
          <w:tcPr>
            <w:tcW w:type="dxa" w:w="1918"/>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Comma</w:t>
            </w:r>
          </w:p>
        </w:tc>
      </w:tr>
      <w:tr>
        <w:trPr>
          <w:cantSplit/>
        </w:trPr>
        <w:tc>
          <w:tcPr>
            <w:tcW w:type="dxa" w:w="386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Nullità, discriminazione, matrimonio, maternità, motivo illecito, orale</w:t>
            </w:r>
          </w:p>
        </w:tc>
        <w:tc>
          <w:tcPr>
            <w:tcW w:type="dxa" w:w="386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Reintegra + indennità (min. 5 mensilità), contributi; opzione 15 mensilità; qualunque sia il numero dei dipendenti; anche dirigenti</w:t>
            </w:r>
          </w:p>
        </w:tc>
        <w:tc>
          <w:tcPr>
            <w:tcW w:type="dxa" w:w="1918"/>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1-3</w:t>
            </w:r>
          </w:p>
        </w:tc>
      </w:tr>
      <w:tr>
        <w:trPr>
          <w:cantSplit/>
        </w:trPr>
        <w:tc>
          <w:tcPr>
            <w:tcW w:type="dxa" w:w="386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Disciplinare: fatto insussistente o punibile con sanzione conservativa secondo CCNL o codici disciplinari</w:t>
            </w:r>
          </w:p>
        </w:tc>
        <w:tc>
          <w:tcPr>
            <w:tcW w:type="dxa" w:w="386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Reintegra + indennità max 12 mensilità</w:t>
            </w:r>
          </w:p>
        </w:tc>
        <w:tc>
          <w:tcPr>
            <w:tcW w:type="dxa" w:w="1918"/>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4</w:t>
            </w:r>
          </w:p>
        </w:tc>
      </w:tr>
      <w:tr>
        <w:trPr>
          <w:cantSplit/>
        </w:trPr>
        <w:tc>
          <w:tcPr>
            <w:tcW w:type="dxa" w:w="386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Disciplinare: altri casi</w:t>
            </w:r>
          </w:p>
        </w:tc>
        <w:tc>
          <w:tcPr>
            <w:tcW w:type="dxa" w:w="386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Indennità 12-24 mensilità</w:t>
            </w:r>
          </w:p>
        </w:tc>
        <w:tc>
          <w:tcPr>
            <w:tcW w:type="dxa" w:w="1918"/>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5</w:t>
            </w:r>
          </w:p>
        </w:tc>
      </w:tr>
      <w:tr>
        <w:trPr>
          <w:cantSplit/>
        </w:trPr>
        <w:tc>
          <w:tcPr>
            <w:tcW w:type="dxa" w:w="386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Vizi formali/procedurali (art. 2, comma 2, l. 604; art. 7 St. lav.; art. 7 l. 604)</w:t>
            </w:r>
          </w:p>
        </w:tc>
        <w:tc>
          <w:tcPr>
            <w:tcW w:type="dxa" w:w="386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Indennità 6-12 mensilità</w:t>
            </w:r>
          </w:p>
        </w:tc>
        <w:tc>
          <w:tcPr>
            <w:tcW w:type="dxa" w:w="1918"/>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6</w:t>
            </w:r>
          </w:p>
        </w:tc>
      </w:tr>
      <w:tr>
        <w:trPr>
          <w:cantSplit/>
        </w:trPr>
        <w:tc>
          <w:tcPr>
            <w:tcW w:type="dxa" w:w="386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GMO: inidoneità, violazione dell'art. 2110 c.c., </w:t>
            </w:r>
            <w:r>
              <w:rPr>
                <w:rFonts w:ascii="Calibri" w:cs="Calibri" w:eastAsia="Calibri" w:hAnsi="Calibri"/>
                <w:b/>
                <w:bCs/>
                <w:sz w:val="18"/>
                <w:szCs w:val="18"/>
              </w:rPr>
              <w:t xml:space="preserve">insussistenza del fatto</w:t>
            </w:r>
          </w:p>
        </w:tc>
        <w:tc>
          <w:tcPr>
            <w:tcW w:type="dxa" w:w="386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Reintegra (comma 4)</w:t>
            </w:r>
          </w:p>
        </w:tc>
        <w:tc>
          <w:tcPr>
            <w:tcW w:type="dxa" w:w="1918"/>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7, nel testo risultante da C. cost. 59/2021 e 125/2022</w:t>
            </w:r>
          </w:p>
        </w:tc>
      </w:tr>
      <w:tr>
        <w:trPr>
          <w:cantSplit/>
        </w:trPr>
        <w:tc>
          <w:tcPr>
            <w:tcW w:type="dxa" w:w="386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GMO: altri casi</w:t>
            </w:r>
          </w:p>
        </w:tc>
        <w:tc>
          <w:tcPr>
            <w:tcW w:type="dxa" w:w="386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Indennità 12-24</w:t>
            </w:r>
          </w:p>
        </w:tc>
        <w:tc>
          <w:tcPr>
            <w:tcW w:type="dxa" w:w="1918"/>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7 → 5</w:t>
            </w:r>
          </w:p>
        </w:tc>
      </w:tr>
    </w:tbl>
    <w:p>
      <w:pPr>
        <w:spacing w:after="0" w:before="0" w:line="120"/>
      </w:pPr>
    </w:p>
    <w:p>
      <w:pPr>
        <w:pStyle w:val="Corpo"/>
        <w:keepNext w:val="false"/>
        <w:spacing w:after="100" w:line="264"/>
        <w:jc w:val="left"/>
      </w:pPr>
      <w:r>
        <w:rPr>
          <w:rFonts w:ascii="Calibri" w:cs="Calibri" w:eastAsia="Calibri" w:hAnsi="Calibri"/>
          <w:b/>
          <w:bCs/>
          <w:sz w:val="21"/>
          <w:szCs w:val="21"/>
        </w:rPr>
        <w:t xml:space="preserve">C) Tutela obbligatoria (assunti prima del 7 marzo 2015, datore sotto soglia)</w:t>
      </w:r>
      <w:r>
        <w:rPr>
          <w:rFonts w:ascii="Calibri" w:cs="Calibri" w:eastAsia="Calibri" w:hAnsi="Calibri"/>
          <w:sz w:val="21"/>
          <w:szCs w:val="21"/>
        </w:rPr>
        <w:t xml:space="preserve">: riassunzione entro tre giorni o indennità 2,5-6 mensilità della retribuzione globale di fatto, maggiorabile fino a 10 (anzianità oltre 10 anni) o 14 (oltre 20) se il datore occupa più di 15 dipendenti (art. 8 l. 604/1966). Le nullità restano tutelate con la reintegra (art. 3 l. 108/1990; art. 18, primo comma).</w:t>
      </w:r>
    </w:p>
    <w:p>
      <w:pPr>
        <w:pStyle w:val="Corpo"/>
        <w:keepNext/>
        <w:spacing w:after="100" w:before="100" w:line="264"/>
        <w:jc w:val="left"/>
      </w:pPr>
      <w:r>
        <w:rPr>
          <w:rFonts w:ascii="Calibri" w:cs="Calibri" w:eastAsia="Calibri" w:hAnsi="Calibri"/>
          <w:b/>
          <w:bCs/>
          <w:sz w:val="21"/>
          <w:szCs w:val="21"/>
        </w:rPr>
        <w:t xml:space="preserve">Altri casi</w:t>
      </w:r>
    </w:p>
    <w:p>
      <w:pPr>
        <w:pStyle w:val="Corpo"/>
        <w:numPr>
          <w:ilvl w:val="0"/>
          <w:numId w:val="4"/>
        </w:numPr>
        <w:spacing w:after="60" w:line="264"/>
        <w:jc w:val="left"/>
      </w:pPr>
      <w:r>
        <w:rPr>
          <w:rFonts w:ascii="Calibri" w:cs="Calibri" w:eastAsia="Calibri" w:hAnsi="Calibri"/>
          <w:b/>
          <w:bCs/>
          <w:sz w:val="21"/>
          <w:szCs w:val="21"/>
        </w:rPr>
        <w:t xml:space="preserve">Ricorso cautelare</w:t>
      </w:r>
      <w:r>
        <w:rPr>
          <w:rFonts w:ascii="Calibri" w:cs="Calibri" w:eastAsia="Calibri" w:hAnsi="Calibri"/>
          <w:sz w:val="21"/>
          <w:szCs w:val="21"/>
        </w:rPr>
        <w:t xml:space="preserve"> (art. 700 c.p.c.): idoneo a conservare l'impugnazione entro i 180 giorni (C. cost. 212/2020). Serve il pregiudizio imminente e irreparabile: motivatelo sui fatti (assenza di reddito, carichi familiari).</w:t>
      </w:r>
    </w:p>
    <w:p>
      <w:pPr>
        <w:pStyle w:val="Corpo"/>
        <w:numPr>
          <w:ilvl w:val="0"/>
          <w:numId w:val="4"/>
        </w:numPr>
        <w:spacing w:after="60" w:line="264"/>
        <w:jc w:val="left"/>
      </w:pPr>
      <w:r>
        <w:rPr>
          <w:rFonts w:ascii="Calibri" w:cs="Calibri" w:eastAsia="Calibri" w:hAnsi="Calibri"/>
          <w:b/>
          <w:bCs/>
          <w:sz w:val="21"/>
          <w:szCs w:val="21"/>
        </w:rPr>
        <w:t xml:space="preserve">Licenziamento discriminatorio</w:t>
      </w:r>
      <w:r>
        <w:rPr>
          <w:rFonts w:ascii="Calibri" w:cs="Calibri" w:eastAsia="Calibri" w:hAnsi="Calibri"/>
          <w:sz w:val="21"/>
          <w:szCs w:val="21"/>
        </w:rPr>
        <w:t xml:space="preserve">: si può agire anche con i riti speciali antidiscriminatori, ma la scelta di un rito preclude l'altro per la stessa domanda (art. 441-quater c.p.c.).</w:t>
      </w:r>
    </w:p>
    <w:p>
      <w:pPr>
        <w:pStyle w:val="Corpo"/>
        <w:numPr>
          <w:ilvl w:val="0"/>
          <w:numId w:val="4"/>
        </w:numPr>
        <w:spacing w:after="60" w:line="264"/>
        <w:jc w:val="left"/>
      </w:pPr>
      <w:r>
        <w:rPr>
          <w:rFonts w:ascii="Calibri" w:cs="Calibri" w:eastAsia="Calibri" w:hAnsi="Calibri"/>
          <w:b/>
          <w:bCs/>
          <w:sz w:val="21"/>
          <w:szCs w:val="21"/>
        </w:rPr>
        <w:t xml:space="preserve">Socio lavoratore di cooperativa</w:t>
      </w:r>
      <w:r>
        <w:rPr>
          <w:rFonts w:ascii="Calibri" w:cs="Calibri" w:eastAsia="Calibri" w:hAnsi="Calibri"/>
          <w:sz w:val="21"/>
          <w:szCs w:val="21"/>
        </w:rPr>
        <w:t xml:space="preserve">: il giudice del lavoro decide anche sul rapporto associativo (art. 441-ter c.p.c.).</w:t>
      </w:r>
    </w:p>
    <w:p>
      <w:pPr>
        <w:pStyle w:val="Corpo"/>
        <w:numPr>
          <w:ilvl w:val="0"/>
          <w:numId w:val="4"/>
        </w:numPr>
        <w:spacing w:after="60" w:line="264"/>
        <w:jc w:val="left"/>
      </w:pPr>
      <w:r>
        <w:rPr>
          <w:rFonts w:ascii="Calibri" w:cs="Calibri" w:eastAsia="Calibri" w:hAnsi="Calibri"/>
          <w:b/>
          <w:bCs/>
          <w:sz w:val="21"/>
          <w:szCs w:val="21"/>
        </w:rPr>
        <w:t xml:space="preserve">Procedura dell'art. 7 l. 604/1966</w:t>
      </w:r>
      <w:r>
        <w:rPr>
          <w:rFonts w:ascii="Calibri" w:cs="Calibri" w:eastAsia="Calibri" w:hAnsi="Calibri"/>
          <w:sz w:val="21"/>
          <w:szCs w:val="21"/>
        </w:rPr>
        <w:t xml:space="preserve"> (GMO, datore sopra soglia): si applica agli assunti prima del 7 marzo 2015; per i lavoratori del d.lgs. 23/2015 «non trova applicazione» (art. 3, comma 3, d.lgs. 23/2015).</w:t>
      </w:r>
    </w:p>
    <w:p>
      <w:pPr>
        <w:pStyle w:val="Corpo"/>
        <w:numPr>
          <w:ilvl w:val="0"/>
          <w:numId w:val="4"/>
        </w:numPr>
        <w:spacing w:after="60" w:line="264"/>
        <w:jc w:val="left"/>
      </w:pPr>
      <w:r>
        <w:rPr>
          <w:rFonts w:ascii="Calibri" w:cs="Calibri" w:eastAsia="Calibri" w:hAnsi="Calibri"/>
          <w:b/>
          <w:bCs/>
          <w:sz w:val="21"/>
          <w:szCs w:val="21"/>
        </w:rPr>
        <w:t xml:space="preserve">Negoziazione assistita nel lavoro</w:t>
      </w:r>
      <w:r>
        <w:rPr>
          <w:rFonts w:ascii="Calibri" w:cs="Calibri" w:eastAsia="Calibri" w:hAnsi="Calibri"/>
          <w:sz w:val="21"/>
          <w:szCs w:val="21"/>
        </w:rPr>
        <w:t xml:space="preserve">: possibile, facoltativa (art. 2-ter d.l. 132/2014); i suoi effetti sui termini dell'art. 6 non sono regolati espressamente (v. formulario sulla negoziazione).</w:t>
      </w:r>
    </w:p>
    <w:p>
      <w:pPr>
        <w:pStyle w:val="Corpo"/>
        <w:numPr>
          <w:ilvl w:val="0"/>
          <w:numId w:val="4"/>
        </w:numPr>
        <w:spacing w:after="60" w:line="264"/>
        <w:jc w:val="left"/>
      </w:pPr>
      <w:r>
        <w:rPr>
          <w:rFonts w:ascii="Calibri" w:cs="Calibri" w:eastAsia="Calibri" w:hAnsi="Calibri"/>
          <w:b/>
          <w:bCs/>
          <w:sz w:val="21"/>
          <w:szCs w:val="21"/>
        </w:rPr>
        <w:t xml:space="preserve">Procedimenti pendenti al 28 febbraio 2023</w:t>
      </w:r>
      <w:r>
        <w:rPr>
          <w:rFonts w:ascii="Calibri" w:cs="Calibri" w:eastAsia="Calibri" w:hAnsi="Calibri"/>
          <w:sz w:val="21"/>
          <w:szCs w:val="21"/>
        </w:rPr>
        <w:t xml:space="preserve"> con rito Fornero: restano regolati dalle norme anteriori (art. 35, comma 1, d.lgs. 149/2022).</w:t>
      </w:r>
    </w:p>
    <w:p>
      <w:pPr>
        <w:pStyle w:val="Heading2"/>
      </w:pPr>
      <w:r>
        <w:rPr>
          <w:rFonts w:ascii="Georgia" w:cs="Georgia" w:eastAsia="Georgia" w:hAnsi="Georgia"/>
          <w:b/>
          <w:bCs/>
        </w:rPr>
        <w:t xml:space="preserve">10. Punti che restano incerti (dichiarati)</w:t>
      </w:r>
    </w:p>
    <w:p>
      <w:pPr>
        <w:pStyle w:val="Corpo"/>
        <w:spacing w:after="70" w:line="264"/>
        <w:ind w:left="425" w:hanging="425"/>
        <w:jc w:val="left"/>
      </w:pPr>
      <w:r>
        <w:rPr>
          <w:rFonts w:ascii="Calibri" w:cs="Calibri" w:eastAsia="Calibri" w:hAnsi="Calibri"/>
          <w:b/>
          <w:bCs/>
          <w:color w:val="2F5546"/>
          <w:sz w:val="21"/>
          <w:szCs w:val="21"/>
        </w:rPr>
        <w:t xml:space="preserve">1.</w:t>
      </w:r>
      <w:r>
        <w:rPr>
          <w:rFonts w:ascii="Calibri" w:cs="Calibri" w:eastAsia="Calibri" w:hAnsi="Calibri"/>
          <w:sz w:val="21"/>
          <w:szCs w:val="21"/>
        </w:rPr>
        <w:tab/>
      </w:r>
      <w:r>
        <w:rPr>
          <w:rFonts w:ascii="Calibri" w:cs="Calibri" w:eastAsia="Calibri" w:hAnsi="Calibri"/>
          <w:b/>
          <w:bCs/>
          <w:sz w:val="21"/>
          <w:szCs w:val="21"/>
        </w:rPr>
        <w:t xml:space="preserve">Dies a quo dei 180 giorni</w:t>
      </w:r>
      <w:r>
        <w:rPr>
          <w:rFonts w:ascii="Calibri" w:cs="Calibri" w:eastAsia="Calibri" w:hAnsi="Calibri"/>
          <w:sz w:val="21"/>
          <w:szCs w:val="21"/>
        </w:rPr>
        <w:t xml:space="preserve">: la legge dice «successivo termine»; il formulario consiglia di contare dall'invio dell'impugnazione.</w:t>
      </w:r>
    </w:p>
    <w:p>
      <w:pPr>
        <w:pStyle w:val="Corpo"/>
        <w:spacing w:after="70" w:line="264"/>
        <w:ind w:left="425" w:hanging="425"/>
        <w:jc w:val="left"/>
      </w:pPr>
      <w:r>
        <w:rPr>
          <w:rFonts w:ascii="Calibri" w:cs="Calibri" w:eastAsia="Calibri" w:hAnsi="Calibri"/>
          <w:b/>
          <w:bCs/>
          <w:color w:val="2F5546"/>
          <w:sz w:val="21"/>
          <w:szCs w:val="21"/>
        </w:rPr>
        <w:t xml:space="preserve">2.</w:t>
      </w:r>
      <w:r>
        <w:rPr>
          <w:rFonts w:ascii="Calibri" w:cs="Calibri" w:eastAsia="Calibri" w:hAnsi="Calibri"/>
          <w:sz w:val="21"/>
          <w:szCs w:val="21"/>
        </w:rPr>
        <w:tab/>
      </w:r>
      <w:r>
        <w:rPr>
          <w:rFonts w:ascii="Calibri" w:cs="Calibri" w:eastAsia="Calibri" w:hAnsi="Calibri"/>
          <w:b/>
          <w:bCs/>
          <w:sz w:val="21"/>
          <w:szCs w:val="21"/>
        </w:rPr>
        <w:t xml:space="preserve">Sospensione feriale sui termini dell'art. 6</w:t>
      </w:r>
      <w:r>
        <w:rPr>
          <w:rFonts w:ascii="Calibri" w:cs="Calibri" w:eastAsia="Calibri" w:hAnsi="Calibri"/>
          <w:sz w:val="21"/>
          <w:szCs w:val="21"/>
        </w:rPr>
        <w:t xml:space="preserve">: la l. 742/1969 non li nomina; sul piano del testo, l'art. 1 riguarda i soli termini processuali e l'art. 3 esclude comunque le controversie di lavoro, sicché nessuna lettura porta ad applicarla. Il formulario consiglia in ogni caso di non contarla.</w:t>
      </w:r>
    </w:p>
    <w:p>
      <w:pPr>
        <w:pStyle w:val="Corpo"/>
        <w:spacing w:after="70" w:line="264"/>
        <w:ind w:left="425" w:hanging="425"/>
        <w:jc w:val="left"/>
      </w:pPr>
      <w:r>
        <w:rPr>
          <w:rFonts w:ascii="Calibri" w:cs="Calibri" w:eastAsia="Calibri" w:hAnsi="Calibri"/>
          <w:b/>
          <w:bCs/>
          <w:color w:val="2F5546"/>
          <w:sz w:val="21"/>
          <w:szCs w:val="21"/>
        </w:rPr>
        <w:t xml:space="preserve">3.</w:t>
      </w:r>
      <w:r>
        <w:rPr>
          <w:rFonts w:ascii="Calibri" w:cs="Calibri" w:eastAsia="Calibri" w:hAnsi="Calibri"/>
          <w:sz w:val="21"/>
          <w:szCs w:val="21"/>
        </w:rPr>
        <w:tab/>
      </w:r>
      <w:r>
        <w:rPr>
          <w:rFonts w:ascii="Calibri" w:cs="Calibri" w:eastAsia="Calibri" w:hAnsi="Calibri"/>
          <w:b/>
          <w:bCs/>
          <w:sz w:val="21"/>
          <w:szCs w:val="21"/>
        </w:rPr>
        <w:t xml:space="preserve">Coordinamento tra la sospensione delle decadenze dell'art. 410, secondo comma, c.p.c. e i termini dell'art. 6</w:t>
      </w:r>
      <w:r>
        <w:rPr>
          <w:rFonts w:ascii="Calibri" w:cs="Calibri" w:eastAsia="Calibri" w:hAnsi="Calibri"/>
          <w:sz w:val="21"/>
          <w:szCs w:val="21"/>
        </w:rPr>
        <w:t xml:space="preserve">: non regolato espressamente.</w:t>
      </w:r>
    </w:p>
    <w:p>
      <w:pPr>
        <w:pStyle w:val="Corpo"/>
        <w:spacing w:after="70" w:line="264"/>
        <w:ind w:left="425" w:hanging="425"/>
        <w:jc w:val="left"/>
      </w:pPr>
      <w:r>
        <w:rPr>
          <w:rFonts w:ascii="Calibri" w:cs="Calibri" w:eastAsia="Calibri" w:hAnsi="Calibri"/>
          <w:b/>
          <w:bCs/>
          <w:color w:val="2F5546"/>
          <w:sz w:val="21"/>
          <w:szCs w:val="21"/>
        </w:rPr>
        <w:t xml:space="preserve">4.</w:t>
      </w:r>
      <w:r>
        <w:rPr>
          <w:rFonts w:ascii="Calibri" w:cs="Calibri" w:eastAsia="Calibri" w:hAnsi="Calibri"/>
          <w:sz w:val="21"/>
          <w:szCs w:val="21"/>
        </w:rPr>
        <w:tab/>
      </w:r>
      <w:r>
        <w:rPr>
          <w:rFonts w:ascii="Calibri" w:cs="Calibri" w:eastAsia="Calibri" w:hAnsi="Calibri"/>
          <w:b/>
          <w:bCs/>
          <w:sz w:val="21"/>
          <w:szCs w:val="21"/>
        </w:rPr>
        <w:t xml:space="preserve">Impugnazione firmata dal solo difensore</w:t>
      </w:r>
      <w:r>
        <w:rPr>
          <w:rFonts w:ascii="Calibri" w:cs="Calibri" w:eastAsia="Calibri" w:hAnsi="Calibri"/>
          <w:sz w:val="21"/>
          <w:szCs w:val="21"/>
        </w:rPr>
        <w:t xml:space="preserve">: non trattata; si consiglia la firma del lavoratore.</w:t>
      </w:r>
    </w:p>
    <w:p>
      <w:pPr>
        <w:pStyle w:val="Corpo"/>
        <w:spacing w:after="70" w:line="264"/>
        <w:ind w:left="425" w:hanging="425"/>
        <w:jc w:val="left"/>
      </w:pPr>
      <w:r>
        <w:rPr>
          <w:rFonts w:ascii="Calibri" w:cs="Calibri" w:eastAsia="Calibri" w:hAnsi="Calibri"/>
          <w:b/>
          <w:bCs/>
          <w:color w:val="2F5546"/>
          <w:sz w:val="21"/>
          <w:szCs w:val="21"/>
        </w:rPr>
        <w:t xml:space="preserve">5.</w:t>
      </w:r>
      <w:r>
        <w:rPr>
          <w:rFonts w:ascii="Calibri" w:cs="Calibri" w:eastAsia="Calibri" w:hAnsi="Calibri"/>
          <w:sz w:val="21"/>
          <w:szCs w:val="21"/>
        </w:rPr>
        <w:tab/>
      </w:r>
      <w:r>
        <w:rPr>
          <w:rFonts w:ascii="Calibri" w:cs="Calibri" w:eastAsia="Calibri" w:hAnsi="Calibri"/>
          <w:b/>
          <w:bCs/>
          <w:sz w:val="21"/>
          <w:szCs w:val="21"/>
        </w:rPr>
        <w:t xml:space="preserve">Spedizione o ricezione</w:t>
      </w:r>
      <w:r>
        <w:rPr>
          <w:rFonts w:ascii="Calibri" w:cs="Calibri" w:eastAsia="Calibri" w:hAnsi="Calibri"/>
          <w:sz w:val="21"/>
          <w:szCs w:val="21"/>
        </w:rPr>
        <w:t xml:space="preserve"> per il rispetto dei 60 giorni: la norma parla di ricezione del licenziamento, non dice se basti la spedizione dell'impugnazione; il formulario consiglia di far pervenire l'atto entro il termine.</w:t>
      </w:r>
    </w:p>
    <w:p>
      <w:pPr>
        <w:pStyle w:val="Corpo"/>
        <w:spacing w:after="70" w:line="264"/>
        <w:ind w:left="425" w:hanging="425"/>
        <w:jc w:val="left"/>
      </w:pPr>
      <w:r>
        <w:rPr>
          <w:rFonts w:ascii="Calibri" w:cs="Calibri" w:eastAsia="Calibri" w:hAnsi="Calibri"/>
          <w:b/>
          <w:bCs/>
          <w:color w:val="2F5546"/>
          <w:sz w:val="21"/>
          <w:szCs w:val="21"/>
        </w:rPr>
        <w:t xml:space="preserve">6.</w:t>
      </w:r>
      <w:r>
        <w:rPr>
          <w:rFonts w:ascii="Calibri" w:cs="Calibri" w:eastAsia="Calibri" w:hAnsi="Calibri"/>
          <w:sz w:val="21"/>
          <w:szCs w:val="21"/>
        </w:rPr>
        <w:tab/>
      </w:r>
      <w:r>
        <w:rPr>
          <w:rFonts w:ascii="Calibri" w:cs="Calibri" w:eastAsia="Calibri" w:hAnsi="Calibri"/>
          <w:b/>
          <w:bCs/>
          <w:sz w:val="21"/>
          <w:szCs w:val="21"/>
        </w:rPr>
        <w:t xml:space="preserve">Anticipazione forfettaria di 27 euro dal 1° gennaio 2027 — risolto (revisione del 18/10/2026)</w:t>
      </w:r>
      <w:r>
        <w:rPr>
          <w:rFonts w:ascii="Calibri" w:cs="Calibri" w:eastAsia="Calibri" w:hAnsi="Calibri"/>
          <w:sz w:val="21"/>
          <w:szCs w:val="21"/>
        </w:rPr>
        <w:t xml:space="preserve">: l'esenzione prosegue con l'art. 186 del d.lgs. 123/2025 e il rinvio dell'art. 30 d.P.R. 115/2002 vale per quell'articolo (art. 204, comma 2, del testo unico); v. § 4.</w:t>
      </w:r>
    </w:p>
    <w:p>
      <w:pPr>
        <w:pStyle w:val="Corpo"/>
        <w:spacing w:after="70" w:line="264"/>
        <w:ind w:left="425" w:hanging="425"/>
        <w:jc w:val="left"/>
      </w:pPr>
      <w:r>
        <w:rPr>
          <w:rFonts w:ascii="Calibri" w:cs="Calibri" w:eastAsia="Calibri" w:hAnsi="Calibri"/>
          <w:b/>
          <w:bCs/>
          <w:color w:val="2F5546"/>
          <w:sz w:val="21"/>
          <w:szCs w:val="21"/>
        </w:rPr>
        <w:t xml:space="preserve">7.</w:t>
      </w:r>
      <w:r>
        <w:rPr>
          <w:rFonts w:ascii="Calibri" w:cs="Calibri" w:eastAsia="Calibri" w:hAnsi="Calibri"/>
          <w:sz w:val="21"/>
          <w:szCs w:val="21"/>
        </w:rPr>
        <w:tab/>
      </w:r>
      <w:r>
        <w:rPr>
          <w:rFonts w:ascii="Calibri" w:cs="Calibri" w:eastAsia="Calibri" w:hAnsi="Calibri"/>
          <w:b/>
          <w:bCs/>
          <w:sz w:val="21"/>
          <w:szCs w:val="21"/>
        </w:rPr>
        <w:t xml:space="preserve">Cumulo dei redditi familiari</w:t>
      </w:r>
      <w:r>
        <w:rPr>
          <w:rFonts w:ascii="Calibri" w:cs="Calibri" w:eastAsia="Calibri" w:hAnsi="Calibri"/>
          <w:sz w:val="21"/>
          <w:szCs w:val="21"/>
        </w:rPr>
        <w:t xml:space="preserve"> ai fini dell'esenzione dal contributo (art. 9, comma 1-bis): v. § 4.</w:t>
      </w:r>
    </w:p>
    <w:p>
      <w:pPr>
        <w:pStyle w:val="Corpo"/>
        <w:spacing w:after="70" w:line="264"/>
        <w:ind w:left="425" w:hanging="425"/>
        <w:jc w:val="left"/>
      </w:pPr>
      <w:r>
        <w:rPr>
          <w:rFonts w:ascii="Calibri" w:cs="Calibri" w:eastAsia="Calibri" w:hAnsi="Calibri"/>
          <w:b/>
          <w:bCs/>
          <w:color w:val="2F5546"/>
          <w:sz w:val="21"/>
          <w:szCs w:val="21"/>
        </w:rPr>
        <w:t xml:space="preserve">8.</w:t>
      </w:r>
      <w:r>
        <w:rPr>
          <w:rFonts w:ascii="Calibri" w:cs="Calibri" w:eastAsia="Calibri" w:hAnsi="Calibri"/>
          <w:sz w:val="21"/>
          <w:szCs w:val="21"/>
        </w:rPr>
        <w:tab/>
      </w:r>
      <w:r>
        <w:rPr>
          <w:rFonts w:ascii="Calibri" w:cs="Calibri" w:eastAsia="Calibri" w:hAnsi="Calibri"/>
          <w:b/>
          <w:bCs/>
          <w:sz w:val="21"/>
          <w:szCs w:val="21"/>
        </w:rPr>
        <w:t xml:space="preserve">Licenziamento orale</w:t>
      </w:r>
      <w:r>
        <w:rPr>
          <w:rFonts w:ascii="Calibri" w:cs="Calibri" w:eastAsia="Calibri" w:hAnsi="Calibri"/>
          <w:sz w:val="21"/>
          <w:szCs w:val="21"/>
        </w:rPr>
        <w:t xml:space="preserve">: la legge non indica da quando decorrano i 60 giorni (§ 1, punto 4).</w:t>
      </w:r>
    </w:p>
    <w:p>
      <w:pPr>
        <w:pBdr>
          <w:bottom w:val="single" w:color="D9DAD2" w:sz="6" w:space="1"/>
        </w:pBdr>
        <w:spacing w:after="80" w:before="200"/>
      </w:pPr>
    </w:p>
    <w:p>
      <w:pPr>
        <w:pStyle w:val="Corpo"/>
        <w:spacing w:after="0" w:before="120" w:line="264"/>
        <w:jc w:val="left"/>
      </w:pPr>
      <w:r>
        <w:rPr>
          <w:rFonts w:ascii="Calibri" w:cs="Calibri" w:eastAsia="Calibri" w:hAnsi="Calibri"/>
          <w:i/>
          <w:iCs/>
          <w:color w:val="7A817E"/>
          <w:sz w:val="17"/>
          <w:szCs w:val="17"/>
        </w:rPr>
        <w:t xml:space="preserve">Aggiornato al 18/10/2026 · norme verificate su Normattiva (testo vigente; per gli artt. 429 e 459 c.p.c. testo in vigore nel 1969; per gli artt. 186 e 204 del d.lgs. 123/2025 testo dal 1/1/2027) il 18/10/2026; sentenze della Corte costituzionale lette nel corpus Chiostro (testo integrale) il 18/10/2026; revisione avversaria indipendente del 18/10/2026.</w:t>
      </w:r>
    </w:p>
    <w:sectPr>
      <w:footerReference w:type="default" r:id="rId10"/>
      <w:type w:val="nextPage"/>
      <w:pgSz w:w="11906" w:h="16838" w:orient="portrait"/>
      <w:pgMar w:top="1134" w:right="1134" w:bottom="1247" w:left="1134" w:header="624" w:footer="624"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Corpo"/>
      <w:pBdr>
        <w:top w:val="single" w:color="D9DAD2" w:sz="4" w:space="6"/>
      </w:pBdr>
      <w:tabs>
        <w:tab w:val="right" w:pos="9072"/>
      </w:tabs>
      <w:spacing w:after="0" w:before="0" w:line="240"/>
    </w:pPr>
    <w:r>
      <w:rPr>
        <w:rFonts w:ascii="Calibri" w:cs="Calibri" w:eastAsia="Calibri" w:hAnsi="Calibri"/>
        <w:color w:val="7A817E"/>
        <w:sz w:val="16"/>
        <w:szCs w:val="16"/>
      </w:rPr>
      <w:t xml:space="preserve">Formulario Chiostro — aggiornato al 18/10/2026 — chiostro.legal/formulari</w:t>
    </w:r>
    <w:r>
      <w:rPr>
        <w:rFonts w:ascii="Calibri" w:cs="Calibri" w:eastAsia="Calibri" w:hAnsi="Calibri"/>
        <w:sz w:val="16"/>
        <w:szCs w:val="16"/>
      </w:rPr>
      <w:tab/>
    </w:r>
    <w:r>
      <w:rPr>
        <w:rFonts w:ascii="Calibri" w:cs="Calibri" w:eastAsia="Calibri" w:hAnsi="Calibri"/>
        <w:color w:val="7A817E"/>
        <w:sz w:val="16"/>
        <w:szCs w:val="16"/>
      </w:rPr>
      <w:t xml:space="preserve">Pagina </w:t>
      <w:fldChar w:fldCharType="begin"/>
      <w:instrText xml:space="preserve">PAGE</w:instrText>
      <w:fldChar w:fldCharType="separate"/>
      <w:fldChar w:fldCharType="end"/>
      <w:t xml:space="preserve"> di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Corpo"/>
      <w:pBdr>
        <w:top w:val="single" w:color="D9DAD2" w:sz="4" w:space="6"/>
      </w:pBdr>
      <w:tabs>
        <w:tab w:val="right" w:pos="9072"/>
      </w:tabs>
      <w:spacing w:after="0" w:before="0" w:line="240"/>
    </w:pPr>
    <w:r>
      <w:rPr>
        <w:rFonts w:ascii="Calibri" w:cs="Calibri" w:eastAsia="Calibri" w:hAnsi="Calibri"/>
        <w:color w:val="7A817E"/>
        <w:sz w:val="16"/>
        <w:szCs w:val="16"/>
      </w:rPr>
      <w:t xml:space="preserve">Formulario Chiostro — aggiornato al 18/10/2026 — chiostro.legal/formulari</w:t>
    </w:r>
    <w:r>
      <w:rPr>
        <w:rFonts w:ascii="Calibri" w:cs="Calibri" w:eastAsia="Calibri" w:hAnsi="Calibri"/>
        <w:sz w:val="16"/>
        <w:szCs w:val="16"/>
      </w:rPr>
      <w:tab/>
    </w:r>
    <w:r>
      <w:rPr>
        <w:rFonts w:ascii="Calibri" w:cs="Calibri" w:eastAsia="Calibri" w:hAnsi="Calibri"/>
        <w:color w:val="7A817E"/>
        <w:sz w:val="16"/>
        <w:szCs w:val="16"/>
      </w:rPr>
      <w:t xml:space="preserve">Pagina </w:t>
      <w:fldChar w:fldCharType="begin"/>
      <w:instrText xml:space="preserve">PAGE</w:instrText>
      <w:fldChar w:fldCharType="separate"/>
      <w:fldChar w:fldCharType="end"/>
      <w:t xml:space="preserve"> di </w:t>
      <w:fldChar w:fldCharType="begin"/>
      <w:instrText xml:space="preserve">NUMPAGES</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Corpo"/>
      <w:pBdr>
        <w:top w:val="single" w:color="D9DAD2" w:sz="4" w:space="6"/>
      </w:pBdr>
      <w:tabs>
        <w:tab w:val="right" w:pos="9072"/>
      </w:tabs>
      <w:spacing w:after="0" w:before="0" w:line="240"/>
    </w:pPr>
    <w:r>
      <w:rPr>
        <w:rFonts w:ascii="Calibri" w:cs="Calibri" w:eastAsia="Calibri" w:hAnsi="Calibri"/>
        <w:color w:val="7A817E"/>
        <w:sz w:val="16"/>
        <w:szCs w:val="16"/>
      </w:rPr>
      <w:t xml:space="preserve">Formulario Chiostro — aggiornato al 18/10/2026 — chiostro.legal/formulari</w:t>
    </w:r>
    <w:r>
      <w:rPr>
        <w:rFonts w:ascii="Calibri" w:cs="Calibri" w:eastAsia="Calibri" w:hAnsi="Calibri"/>
        <w:sz w:val="16"/>
        <w:szCs w:val="16"/>
      </w:rPr>
      <w:tab/>
    </w:r>
    <w:r>
      <w:rPr>
        <w:rFonts w:ascii="Calibri" w:cs="Calibri" w:eastAsia="Calibri" w:hAnsi="Calibri"/>
        <w:color w:val="7A817E"/>
        <w:sz w:val="16"/>
        <w:szCs w:val="16"/>
      </w:rPr>
      <w:t xml:space="preserve">Pagina </w:t>
      <w:fldChar w:fldCharType="begin"/>
      <w:instrText xml:space="preserve">PAGE</w:instrText>
      <w:fldChar w:fldCharType="separate"/>
      <w:fldChar w:fldCharType="end"/>
      <w:t xml:space="preserve"> di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Corpo"/>
      <w:pBdr>
        <w:top w:val="single" w:color="D9DAD2" w:sz="4" w:space="6"/>
      </w:pBdr>
      <w:tabs>
        <w:tab w:val="right" w:pos="9638"/>
      </w:tabs>
      <w:spacing w:after="0" w:before="0" w:line="240"/>
    </w:pPr>
    <w:r>
      <w:rPr>
        <w:rFonts w:ascii="Calibri" w:cs="Calibri" w:eastAsia="Calibri" w:hAnsi="Calibri"/>
        <w:color w:val="7A817E"/>
        <w:sz w:val="16"/>
        <w:szCs w:val="16"/>
      </w:rPr>
      <w:t xml:space="preserve">Formulario Chiostro — aggiornato al 18/10/2026 — chiostro.legal/formulari</w:t>
    </w:r>
    <w:r>
      <w:rPr>
        <w:rFonts w:ascii="Calibri" w:cs="Calibri" w:eastAsia="Calibri" w:hAnsi="Calibri"/>
        <w:sz w:val="16"/>
        <w:szCs w:val="16"/>
      </w:rPr>
      <w:tab/>
    </w:r>
    <w:r>
      <w:rPr>
        <w:rFonts w:ascii="Calibri" w:cs="Calibri" w:eastAsia="Calibri" w:hAnsi="Calibri"/>
        <w:color w:val="7A817E"/>
        <w:sz w:val="16"/>
        <w:szCs w:val="16"/>
      </w:rPr>
      <w:t xml:space="preserve">Pagina </w:t>
      <w:fldChar w:fldCharType="begin"/>
      <w:instrText xml:space="preserve">PAGE</w:instrText>
      <w:fldChar w:fldCharType="separate"/>
      <w:fldChar w:fldCharType="end"/>
      <w:t xml:space="preserve"> di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567" w:hanging="567"/>
      </w:pPr>
      <w:rPr>
        <w:rFonts w:ascii="Times New Roman" w:cs="Times New Roman" w:eastAsia="Times New Roman" w:hAnsi="Times New Roman"/>
        <w:sz w:val="24"/>
        <w:szCs w:val="24"/>
      </w:rPr>
    </w:lvl>
  </w:abstractNum>
  <w:abstractNum w:abstractNumId="3" w15:restartNumberingAfterBreak="0">
    <w:multiLevelType w:val="hybridMultilevel"/>
    <w:lvl w:ilvl="0" w15:tentative="1">
      <w:start w:val="1"/>
      <w:numFmt w:val="bullet"/>
      <w:lvlText w:val="–"/>
      <w:lvlJc w:val="left"/>
      <w:pPr>
        <w:ind w:left="567" w:hanging="340"/>
      </w:pPr>
      <w:rPr>
        <w:rFonts w:ascii="Times New Roman" w:cs="Times New Roman" w:eastAsia="Times New Roman" w:hAnsi="Times New Roman"/>
        <w:sz w:val="24"/>
        <w:szCs w:val="24"/>
      </w:rPr>
    </w:lvl>
  </w:abstractNum>
  <w:abstractNum w:abstractNumId="4" w15:restartNumberingAfterBreak="0">
    <w:multiLevelType w:val="hybridMultilevel"/>
    <w:lvl w:ilvl="0" w15:tentative="1">
      <w:start w:val="1"/>
      <w:numFmt w:val="bullet"/>
      <w:lvlText w:val="•"/>
      <w:lvlJc w:val="left"/>
      <w:pPr>
        <w:ind w:left="425" w:hanging="255"/>
      </w:pPr>
      <w:rPr>
        <w:rFonts w:ascii="Calibri" w:cs="Calibri" w:eastAsia="Calibri" w:hAnsi="Calibri"/>
        <w:color w:val="2F5546"/>
      </w:rPr>
    </w:lvl>
    <w:lvl w:ilvl="1" w15:tentative="1">
      <w:start w:val="1"/>
      <w:numFmt w:val="bullet"/>
      <w:lvlText w:val="–"/>
      <w:lvlJc w:val="left"/>
      <w:pPr>
        <w:ind w:left="794" w:hanging="255"/>
      </w:pPr>
      <w:rPr>
        <w:rFonts w:ascii="Calibri" w:cs="Calibri" w:eastAsia="Calibri" w:hAnsi="Calibri"/>
        <w:color w:val="4F5654"/>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lang w:val="it-IT" w:eastAsia="it-IT" w:bidi="ar-SA"/>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tto">
    <w:name w:val="Atto"/>
    <w:basedOn w:val="Normal"/>
    <w:qFormat/>
    <w:pPr>
      <w:spacing w:after="120" w:line="360"/>
      <w:jc w:val="both"/>
    </w:pPr>
    <w:rPr>
      <w:rFonts w:ascii="Times New Roman" w:cs="Times New Roman" w:eastAsia="Times New Roman" w:hAnsi="Times New Roman"/>
      <w:sz w:val="24"/>
      <w:szCs w:val="24"/>
    </w:rPr>
  </w:style>
  <w:style w:type="paragraph" w:styleId="AttoRiquadro">
    <w:name w:val="Atto riquadro"/>
    <w:basedOn w:val="Normal"/>
    <w:pPr>
      <w:spacing w:after="60" w:line="276"/>
    </w:pPr>
    <w:rPr>
      <w:rFonts w:ascii="Times New Roman" w:cs="Times New Roman" w:eastAsia="Times New Roman" w:hAnsi="Times New Roman"/>
      <w:sz w:val="22"/>
      <w:szCs w:val="22"/>
    </w:rPr>
  </w:style>
  <w:style w:type="paragraph" w:styleId="DidascaliaVariante">
    <w:name w:val="Didascalia variante"/>
    <w:basedOn w:val="Normal"/>
    <w:pPr>
      <w:spacing w:after="80" w:line="240"/>
    </w:pPr>
    <w:rPr>
      <w:rFonts w:ascii="Calibri" w:cs="Calibri" w:eastAsia="Calibri" w:hAnsi="Calibri"/>
      <w:b/>
      <w:bCs/>
      <w:color w:val="4F5654"/>
      <w:sz w:val="15"/>
      <w:szCs w:val="15"/>
    </w:rPr>
  </w:style>
  <w:style w:type="paragraph" w:styleId="NotaTitolo">
    <w:name w:val="Nota in testa: titolo"/>
    <w:basedOn w:val="Normal"/>
    <w:pPr>
      <w:spacing w:after="20" w:line="240"/>
    </w:pPr>
    <w:rPr>
      <w:rFonts w:ascii="Calibri" w:cs="Calibri" w:eastAsia="Calibri" w:hAnsi="Calibri"/>
      <w:color w:val="7A817E"/>
      <w:sz w:val="16"/>
      <w:szCs w:val="16"/>
    </w:rPr>
  </w:style>
  <w:style w:type="paragraph" w:styleId="NotaTesta">
    <w:name w:val="Nota in testa"/>
    <w:basedOn w:val="Normal"/>
    <w:pPr>
      <w:spacing w:after="20" w:line="240"/>
    </w:pPr>
    <w:rPr>
      <w:rFonts w:ascii="Calibri" w:cs="Calibri" w:eastAsia="Calibri" w:hAnsi="Calibri"/>
      <w:color w:val="7A817E"/>
      <w:sz w:val="16"/>
      <w:szCs w:val="16"/>
    </w:rPr>
  </w:style>
  <w:style w:type="paragraph" w:styleId="Corpo">
    <w:name w:val="Corpo istruzioni"/>
    <w:basedOn w:val="Normal"/>
    <w:qFormat/>
    <w:pPr>
      <w:spacing w:after="100" w:line="264"/>
    </w:pPr>
    <w:rPr>
      <w:rFonts w:ascii="Calibri" w:cs="Calibri" w:eastAsia="Calibri" w:hAnsi="Calibri"/>
      <w:color w:val="16191A"/>
      <w:sz w:val="21"/>
      <w:szCs w:val="21"/>
    </w:rPr>
  </w:style>
  <w:style w:type="paragraph" w:styleId="Tabella">
    <w:name w:val="Testo tabella"/>
    <w:basedOn w:val="Normal"/>
    <w:pPr>
      <w:spacing w:after="0" w:line="252"/>
    </w:pPr>
    <w:rPr>
      <w:rFonts w:ascii="Calibri" w:cs="Calibri" w:eastAsia="Calibri" w:hAnsi="Calibri"/>
      <w:color w:val="16191A"/>
      <w:sz w:val="18"/>
      <w:szCs w:val="18"/>
    </w:rPr>
  </w:style>
  <w:style w:type="paragraph" w:styleId="ListParagraph">
    <w:name w:val="List Paragraph"/>
    <w:basedOn w:val="Normal"/>
    <w:qFormat/>
    <w:pPr>
      <w:spacing w:after="60" w:line="264"/>
    </w:pPr>
    <w:rPr>
      <w:rFonts w:ascii="Calibri" w:cs="Calibri" w:eastAsia="Calibri" w:hAnsi="Calibri"/>
      <w:sz w:val="21"/>
      <w:szCs w:val="21"/>
    </w:rPr>
  </w:style>
  <w:style w:type="paragraph" w:styleId="Title">
    <w:name w:val="Title"/>
    <w:basedOn w:val="Normal"/>
    <w:next w:val="Normal"/>
    <w:qFormat/>
    <w:pPr>
      <w:spacing w:after="100"/>
    </w:pPr>
    <w:rPr>
      <w:rFonts w:ascii="Georgia" w:cs="Georgia" w:eastAsia="Georgia" w:hAnsi="Georgia"/>
      <w:b/>
      <w:bCs/>
      <w:color w:val="16191A"/>
      <w:sz w:val="40"/>
      <w:szCs w:val="40"/>
    </w:rPr>
  </w:style>
  <w:style w:type="paragraph" w:styleId="Subtitle">
    <w:name w:val="Subtitle"/>
    <w:basedOn w:val="Normal"/>
    <w:next w:val="Normal"/>
    <w:qFormat/>
    <w:pPr>
      <w:spacing w:after="140" w:before="60" w:line="276"/>
    </w:pPr>
    <w:rPr>
      <w:rFonts w:ascii="Georgia" w:cs="Georgia" w:eastAsia="Georgia" w:hAnsi="Georgia"/>
      <w:color w:val="16191A"/>
      <w:sz w:val="32"/>
      <w:szCs w:val="32"/>
    </w:rPr>
  </w:style>
  <w:style w:type="paragraph" w:styleId="Heading1">
    <w:name w:val="heading 1"/>
    <w:basedOn w:val="Normal"/>
    <w:next w:val="Normal"/>
    <w:qFormat/>
    <w:pPr>
      <w:keepNext/>
      <w:spacing w:after="80" w:before="0"/>
      <w:outlineLvl w:val="0"/>
    </w:pPr>
    <w:rPr>
      <w:rFonts w:ascii="Georgia" w:cs="Georgia" w:eastAsia="Georgia" w:hAnsi="Georgia"/>
      <w:b/>
      <w:bCs/>
      <w:color w:val="2F5546"/>
      <w:sz w:val="48"/>
      <w:szCs w:val="48"/>
    </w:rPr>
  </w:style>
  <w:style w:type="paragraph" w:styleId="Heading2">
    <w:name w:val="heading 2"/>
    <w:basedOn w:val="Normal"/>
    <w:next w:val="Corpo"/>
    <w:qFormat/>
    <w:pPr>
      <w:keepNext/>
      <w:pBdr>
        <w:bottom w:val="single" w:color="D9DAD2" w:sz="4" w:space="3"/>
      </w:pBdr>
      <w:spacing w:after="120" w:before="360"/>
      <w:outlineLvl w:val="1"/>
    </w:pPr>
    <w:rPr>
      <w:rFonts w:ascii="Georgia" w:cs="Georgia" w:eastAsia="Georgia" w:hAnsi="Georgia"/>
      <w:b/>
      <w:bCs/>
      <w:color w:val="2F5546"/>
      <w:sz w:val="28"/>
      <w:szCs w:val="28"/>
    </w:rPr>
  </w:style>
  <w:style w:type="paragraph" w:styleId="Heading3">
    <w:name w:val="heading 3"/>
    <w:basedOn w:val="Normal"/>
    <w:next w:val="Corpo"/>
    <w:qFormat/>
    <w:pPr>
      <w:keepNext/>
      <w:spacing w:after="80" w:before="240"/>
      <w:outlineLvl w:val="2"/>
    </w:pPr>
    <w:rPr>
      <w:rFonts w:ascii="Calibri" w:cs="Calibri" w:eastAsia="Calibri" w:hAnsi="Calibri"/>
      <w:b/>
      <w:bCs/>
      <w:color w:val="16191A"/>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oter" Target="footer4.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Impugnazione del licenziamento: lettera stragiudiziale e ricorso al giudice del lavoro</dc:title>
  <dc:subject>Formulario Chiostro</dc:subject>
  <dc:creator>Chiostro</dc:creator>
  <dc:language>it-IT</dc:language>
  <cp:keywords>formulario, modello, atto, Chiostro</cp:keywords>
  <dc:description>Formulario Chiostro — aggiornato al 18/10/2026 — chiostro.legal/formulari</dc:description>
  <cp:lastModifiedBy>Chiostro</cp:lastModifiedBy>
  <cp:revision>1</cp:revision>
  <dcterms:created xsi:type="dcterms:W3CDTF">2026-10-18T22:38:38.605Z</dcterms:created>
  <dcterms:modified xsi:type="dcterms:W3CDTF">2026-10-18T22:38:38.605Z</dcterms:modified>
</cp:coreProperties>
</file>

<file path=docProps/custom.xml><?xml version="1.0" encoding="utf-8"?>
<Properties xmlns="http://schemas.openxmlformats.org/officeDocument/2006/custom-properties" xmlns:vt="http://schemas.openxmlformats.org/officeDocument/2006/docPropsVTypes"/>
</file>