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taTitolo"/>
        <w:keepNext/>
        <w:spacing w:after="20" w:before="0" w:line="240"/>
        <w:jc w:val="left"/>
      </w:pPr>
      <w:bookmarkStart w:name="modello_1" w:id="1"/>
      <w:r>
        <w:rPr>
          <w:rFonts w:ascii="Calibri" w:cs="Calibri" w:eastAsia="Calibri" w:hAnsi="Calibri"/>
          <w:b/>
          <w:bCs/>
          <w:color w:val="7A817E"/>
          <w:spacing w:val="8"/>
          <w:sz w:val="16"/>
          <w:szCs w:val="16"/>
        </w:rPr>
        <w:t xml:space="preserve">MODELLO A — INVITO A STIPULARE UNA CONVENZIONE DI NEGOZIAZIONE ASSISTITA (ART. 4)</w:t>
      </w:r>
      <w:bookmarkEnd w:id="1"/>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169"/>
        <w:gridCol w:w="2903"/>
      </w:tblGrid>
      <w:tr>
        <w:trPr>
          <w:cantSplit/>
        </w:trPr>
        <w:tc>
          <w:tcPr>
            <w:tcW w:type="dxa" w:w="6169"/>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[Intestazione dello studio]</w:t>
            </w:r>
          </w:p>
        </w:tc>
        <w:tc>
          <w:tcPr>
            <w:tcW w:type="dxa" w:w="2903"/>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p>
        </w:tc>
      </w:tr>
    </w:tbl>
    <w:p>
      <w:pPr>
        <w:spacing w:after="0" w:before="0" w:line="160"/>
      </w:pPr>
    </w:p>
    <w:p>
      <w:pPr>
        <w:pStyle w:val="Atto"/>
        <w:keepLines/>
        <w:spacing w:after="160" w:before="0" w:line="276"/>
        <w:ind w:left="3685"/>
        <w:jc w:val="left"/>
      </w:pPr>
      <w:r>
        <w:rPr>
          <w:rFonts w:ascii="Times New Roman" w:cs="Times New Roman" w:eastAsia="Times New Roman" w:hAnsi="Times New Roman"/>
          <w:sz w:val="24"/>
          <w:szCs w:val="24"/>
        </w:rPr>
        <w:t xml:space="preserve">Spett.le / Gent.mo </w:t>
      </w:r>
      <w:r>
        <w:rPr>
          <w:rFonts w:ascii="Times New Roman" w:cs="Times New Roman" w:eastAsia="Times New Roman" w:hAnsi="Times New Roman"/>
          <w:sz w:val="24"/>
          <w:szCs w:val="24"/>
          <w:highlight w:val="yellow"/>
          <w:highlightCs w:val="yellow"/>
        </w:rPr>
        <w:t xml:space="preserve">[destinatario]</w:t>
      </w:r>
      <w:r>
        <w:rPr>
          <w:rFonts w:ascii="Times New Roman" w:cs="Times New Roman" w:eastAsia="Times New Roman" w:hAnsi="Times New Roman"/>
          <w:sz w:val="24"/>
          <w:szCs w:val="24"/>
        </w:rPr>
        <w:br/>
      </w:r>
      <w:r>
        <w:rPr>
          <w:rFonts w:ascii="Times New Roman" w:cs="Times New Roman" w:eastAsia="Times New Roman" w:hAnsi="Times New Roman"/>
          <w:sz w:val="24"/>
          <w:szCs w:val="24"/>
          <w:highlight w:val="yellow"/>
          <w:highlightCs w:val="yellow"/>
        </w:rPr>
        <w:t xml:space="preserve">[indirizzo]</w:t>
      </w:r>
      <w:r>
        <w:rPr>
          <w:rFonts w:ascii="Times New Roman" w:cs="Times New Roman" w:eastAsia="Times New Roman" w:hAnsi="Times New Roman"/>
          <w:sz w:val="24"/>
          <w:szCs w:val="24"/>
        </w:rPr>
        <w:br/>
      </w:r>
      <w:r>
        <w:rPr>
          <w:rFonts w:ascii="Times New Roman" w:cs="Times New Roman" w:eastAsia="Times New Roman" w:hAnsi="Times New Roman"/>
          <w:sz w:val="24"/>
          <w:szCs w:val="24"/>
        </w:rPr>
        <w:t xml:space="preserve">via PEC: </w:t>
      </w:r>
      <w:r>
        <w:rPr>
          <w:rFonts w:ascii="Times New Roman" w:cs="Times New Roman" w:eastAsia="Times New Roman" w:hAnsi="Times New Roman"/>
          <w:sz w:val="24"/>
          <w:szCs w:val="24"/>
          <w:highlight w:val="yellow"/>
          <w:highlightCs w:val="yellow"/>
        </w:rPr>
        <w:t xml:space="preserve">[indirizzo]</w:t>
      </w:r>
      <w:r>
        <w:rPr>
          <w:rFonts w:ascii="Times New Roman" w:cs="Times New Roman" w:eastAsia="Times New Roman" w:hAnsi="Times New Roman"/>
          <w:sz w:val="24"/>
          <w:szCs w:val="24"/>
        </w:rPr>
        <w:t xml:space="preserve"> (tratto da </w:t>
      </w:r>
      <w:r>
        <w:rPr>
          <w:rFonts w:ascii="Times New Roman" w:cs="Times New Roman" w:eastAsia="Times New Roman" w:hAnsi="Times New Roman"/>
          <w:sz w:val="24"/>
          <w:szCs w:val="24"/>
          <w:highlight w:val="yellow"/>
          <w:highlightCs w:val="yellow"/>
        </w:rPr>
        <w:t xml:space="preserve">[INI-PEC / INAD / ____]</w:t>
      </w:r>
      <w:r>
        <w:rPr>
          <w:rFonts w:ascii="Times New Roman" w:cs="Times New Roman" w:eastAsia="Times New Roman" w:hAnsi="Times New Roman"/>
          <w:sz w:val="24"/>
          <w:szCs w:val="24"/>
        </w:rPr>
        <w:t xml:space="preserve">)</w:t>
      </w:r>
    </w:p>
    <w:p>
      <w:pPr>
        <w:pStyle w:val="Atto"/>
        <w:spacing w:after="120" w:before="0" w:line="360"/>
        <w:ind w:left="1134" w:hanging="1134"/>
        <w:jc w:val="left"/>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Invito a stipulare una convenzione di negoziazione assistita da avvocati ai sensi degli artt. 2, 3 e 4 del d.l. 12 settembre 2014, n. 132, conv. dalla l. 10 novembre 2014, n. 162 </w:t>
      </w:r>
      <w:hyperlink w:history="1" w:anchor="nota_1">
        <w:r>
          <w:rPr>
            <w:rFonts w:ascii="Calibri" w:cs="Calibri" w:eastAsia="Calibri" w:hAnsi="Calibri"/>
            <w:color w:val="7A817E"/>
            <w:sz w:val="18"/>
            <w:szCs w:val="18"/>
            <w:vertAlign w:val="superscript"/>
          </w:rPr>
          <w:t xml:space="preserve">(1)</w:t>
        </w:r>
      </w:hyperlink>
    </w:p>
    <w:p>
      <w:pPr>
        <w:pStyle w:val="Atto"/>
        <w:spacing w:after="120" w:before="0" w:line="360"/>
        <w:jc w:val="both"/>
      </w:pPr>
      <w:r>
        <w:rPr>
          <w:rFonts w:ascii="Times New Roman" w:cs="Times New Roman" w:eastAsia="Times New Roman" w:hAnsi="Times New Roman"/>
          <w:sz w:val="24"/>
          <w:szCs w:val="24"/>
        </w:rPr>
        <w:t xml:space="preserve">Il/La sottoscritto/a </w:t>
      </w:r>
      <w:r>
        <w:rPr>
          <w:rFonts w:ascii="Times New Roman" w:cs="Times New Roman" w:eastAsia="Times New Roman" w:hAnsi="Times New Roman"/>
          <w:sz w:val="24"/>
          <w:szCs w:val="24"/>
          <w:highlight w:val="yellow"/>
          <w:highlightCs w:val="yellow"/>
        </w:rPr>
        <w:t xml:space="preserve">[nome e cognome / denominazione e legale rappresentante]</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residente/con sede in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assistito/a dall'avv.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del Foro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PEC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INVITA</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[destinatario]</w:t>
      </w:r>
      <w:r>
        <w:rPr>
          <w:rFonts w:ascii="Times New Roman" w:cs="Times New Roman" w:eastAsia="Times New Roman" w:hAnsi="Times New Roman"/>
          <w:sz w:val="24"/>
          <w:szCs w:val="24"/>
        </w:rPr>
        <w:t xml:space="preserve"> a stipulare una convenzione di negoziazione assistita da avvocati per risolvere in via amichevole la controversia avente il seguente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OGGETTO </w:t>
      </w:r>
      <w:hyperlink w:history="1" w:anchor="nota_2">
        <w:r>
          <w:rPr>
            <w:rFonts w:ascii="Calibri" w:cs="Calibri" w:eastAsia="Calibri" w:hAnsi="Calibri"/>
            <w:color w:val="7A817E"/>
            <w:sz w:val="18"/>
            <w:szCs w:val="18"/>
            <w:vertAlign w:val="superscript"/>
          </w:rPr>
          <w:t xml:space="preserve">(2)</w:t>
        </w:r>
      </w:hyperlink>
    </w:p>
    <w:p>
      <w:pPr>
        <w:pStyle w:val="Atto"/>
        <w:spacing w:after="120" w:before="0" w:line="360"/>
        <w:jc w:val="both"/>
      </w:pPr>
      <w:r>
        <w:rPr>
          <w:rFonts w:ascii="Times New Roman" w:cs="Times New Roman" w:eastAsia="Times New Roman" w:hAnsi="Times New Roman"/>
          <w:i/>
          <w:iCs/>
          <w:sz w:val="24"/>
          <w:szCs w:val="24"/>
          <w:highlight w:val="yellow"/>
          <w:highlightCs w:val="yellow"/>
        </w:rPr>
        <w:t xml:space="preserve">[descrizione completa: es. «pagamento del corrispettivo di euro ____ per le prestazioni di ____ eseguite tra il ____ e il ____, di cui alle fatture n. ____, oltre interessi»; «risarcimento dei danni a persone e cose derivanti dal sinistro stradale avvenuto il ____ in ____, tra il veicolo targato ____ e il veicolo targato ____»]</w:t>
      </w:r>
      <w:r>
        <w:rPr>
          <w:rFonts w:ascii="Times New Roman" w:cs="Times New Roman" w:eastAsia="Times New Roman" w:hAnsi="Times New Roman"/>
          <w:sz w:val="24"/>
          <w:szCs w:val="24"/>
        </w:rPr>
        <w:t xml:space="preserv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La negoziazione costituisce condizione di procedibilità della domanda giudiziale ai sensi dell'art. 3, comma 1, del d.l. 132/2014.</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La negoziazione costituisce condizione dell'esercizio in giudizio dell'azione ai sensi dell'art. 1, comma 249, della legge 23 dicembre 2014, n. 190 (contratto di trasporto o sub-trasporto).</w:t>
            </w:r>
          </w:p>
        </w:tc>
      </w:tr>
    </w:tbl>
    <w:p>
      <w:pPr>
        <w:spacing w:after="0" w:before="0" w:line="16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AVVERTE </w:t>
      </w:r>
      <w:hyperlink w:history="1" w:anchor="nota_3">
        <w:r>
          <w:rPr>
            <w:rFonts w:ascii="Calibri" w:cs="Calibri" w:eastAsia="Calibri" w:hAnsi="Calibri"/>
            <w:color w:val="7A817E"/>
            <w:sz w:val="18"/>
            <w:szCs w:val="18"/>
            <w:vertAlign w:val="superscript"/>
          </w:rPr>
          <w:t xml:space="preserve">(3)</w:t>
        </w:r>
      </w:hyperlink>
    </w:p>
    <w:p>
      <w:pPr>
        <w:pStyle w:val="Atto"/>
        <w:spacing w:after="120" w:before="0" w:line="360"/>
        <w:jc w:val="both"/>
      </w:pPr>
      <w:r>
        <w:rPr>
          <w:rFonts w:ascii="Times New Roman" w:cs="Times New Roman" w:eastAsia="Times New Roman" w:hAnsi="Times New Roman"/>
          <w:sz w:val="24"/>
          <w:szCs w:val="24"/>
        </w:rPr>
        <w:t xml:space="preserve">che la mancata risposta al presente invito entro trenta giorni dalla ricezione o il suo rifiuto può essere valutato dal giudice ai fini delle spese del giudizio e di quanto previsto dagli articoli 96, primo, secondo e terzo comma, e 642, primo comma, del codice di procedura civile.</w:t>
      </w:r>
    </w:p>
    <w:p>
      <w:pPr>
        <w:pStyle w:val="Atto"/>
        <w:spacing w:after="120" w:before="0" w:line="360"/>
        <w:jc w:val="both"/>
      </w:pPr>
      <w:r>
        <w:rPr>
          <w:rFonts w:ascii="Times New Roman" w:cs="Times New Roman" w:eastAsia="Times New Roman" w:hAnsi="Times New Roman"/>
          <w:sz w:val="24"/>
          <w:szCs w:val="24"/>
        </w:rPr>
        <w:t xml:space="preserve">Il/La sottoscritto/a propone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che la negoziazione si svolga in un termine di </w:t>
      </w:r>
      <w:r>
        <w:rPr>
          <w:rFonts w:ascii="Times New Roman" w:cs="Times New Roman" w:eastAsia="Times New Roman" w:hAnsi="Times New Roman"/>
          <w:sz w:val="24"/>
          <w:szCs w:val="24"/>
          <w:highlight w:val="yellow"/>
          <w:highlightCs w:val="yellow"/>
        </w:rPr>
        <w:t xml:space="preserve">[uno/due/tre]</w:t>
      </w:r>
      <w:r>
        <w:rPr>
          <w:rFonts w:ascii="Times New Roman" w:cs="Times New Roman" w:eastAsia="Times New Roman" w:hAnsi="Times New Roman"/>
          <w:sz w:val="24"/>
          <w:szCs w:val="24"/>
          <w:shd w:fill="DCDCDC" w:color="auto" w:val="clear"/>
        </w:rPr>
        <w:t xml:space="preserve"> mesi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che siano previste nella convenzione le facoltà dell'art. 2, comma 2-bis (dichiarazioni di terzi; dichiarazioni confessorie; modalità telematica; incontri da remoto)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e resta in attesa di essere contattato dal Vostro avvocato.</w:t>
      </w:r>
    </w:p>
    <w:p>
      <w:pPr>
        <w:pStyle w:val="Atto"/>
        <w:spacing w:after="120" w:before="0" w:line="360"/>
        <w:jc w:val="both"/>
      </w:pPr>
      <w:r>
        <w:rPr>
          <w:rFonts w:ascii="Times New Roman" w:cs="Times New Roman" w:eastAsia="Times New Roman" w:hAnsi="Times New Roman"/>
          <w:sz w:val="24"/>
          <w:szCs w:val="24"/>
        </w:rPr>
        <w:t xml:space="preserve">Si precisa che, ai sensi dell'art. 8 del d.l. 132/2014, dal momento della comunicazione del presente invito si producono sulla prescrizione gli effetti della domanda giudiziale ed è impedita, per una sola volta, la decadenza.</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[firma della parte]</w:t>
      </w:r>
    </w:p>
    <w:p>
      <w:pPr>
        <w:pStyle w:val="Atto"/>
        <w:spacing w:after="120" w:before="0" w:line="360"/>
        <w:jc w:val="both"/>
      </w:pPr>
      <w:r>
        <w:rPr>
          <w:rFonts w:ascii="Times New Roman" w:cs="Times New Roman" w:eastAsia="Times New Roman" w:hAnsi="Times New Roman"/>
          <w:sz w:val="24"/>
          <w:szCs w:val="24"/>
        </w:rPr>
        <w:t xml:space="preserve">Certifico l'autografia della firma che precede (art. 4, comma 2, d.l. 132/2014).</w:t>
      </w:r>
    </w:p>
    <w:p>
      <w:pPr>
        <w:pStyle w:val="Atto"/>
        <w:spacing w:after="120" w:before="0" w:line="360"/>
        <w:jc w:val="both"/>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w:t>
      </w:r>
      <w:hyperlink w:history="1" w:anchor="nota_4">
        <w:r>
          <w:rPr>
            <w:rFonts w:ascii="Calibri" w:cs="Calibri" w:eastAsia="Calibri" w:hAnsi="Calibri"/>
            <w:color w:val="7A817E"/>
            <w:sz w:val="18"/>
            <w:szCs w:val="18"/>
            <w:vertAlign w:val="superscript"/>
          </w:rPr>
          <w:t xml:space="preserve">(4)</w:t>
        </w:r>
      </w:hyperlink>
    </w:p>
    <w:p>
      <w:pPr>
        <w:sectPr>
          <w:footerReference w:type="default" r:id="rId7"/>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2" w:id="2"/>
      <w:r>
        <w:rPr>
          <w:rFonts w:ascii="Calibri" w:cs="Calibri" w:eastAsia="Calibri" w:hAnsi="Calibri"/>
          <w:b/>
          <w:bCs/>
          <w:color w:val="7A817E"/>
          <w:spacing w:val="8"/>
          <w:sz w:val="16"/>
          <w:szCs w:val="16"/>
        </w:rPr>
        <w:t xml:space="preserve">MODELLO B — CONVENZIONE DI NEGOZIAZIONE ASSISTITA DA AVVOCATI (ART. 2)</w:t>
      </w:r>
      <w:bookmarkEnd w:id="2"/>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keepNext/>
        <w:spacing w:after="60" w:before="240" w:line="300"/>
        <w:jc w:val="center"/>
      </w:pPr>
      <w:r>
        <w:rPr>
          <w:rFonts w:ascii="Times New Roman" w:cs="Times New Roman" w:eastAsia="Times New Roman" w:hAnsi="Times New Roman"/>
          <w:b/>
          <w:bCs/>
          <w:spacing w:val="30"/>
          <w:sz w:val="30"/>
          <w:szCs w:val="30"/>
        </w:rPr>
        <w:t xml:space="preserve">CONVENZIONE DI NEGOZIAZIONE ASSISTITA DA AVVOCATI</w:t>
      </w:r>
    </w:p>
    <w:p>
      <w:pPr>
        <w:pStyle w:val="Atto"/>
        <w:spacing w:after="240" w:before="0" w:line="276"/>
        <w:jc w:val="center"/>
      </w:pPr>
      <w:r>
        <w:rPr>
          <w:rFonts w:ascii="Times New Roman" w:cs="Times New Roman" w:eastAsia="Times New Roman" w:hAnsi="Times New Roman"/>
          <w:i/>
          <w:iCs/>
          <w:sz w:val="22"/>
          <w:szCs w:val="22"/>
        </w:rPr>
        <w:t xml:space="preserve">ai sensi dell'art. 2 del d.l. 12 settembre 2014, n. 132, conv. dalla l. 10 novembre 2014, n. 162</w:t>
      </w:r>
    </w:p>
    <w:p>
      <w:pPr>
        <w:pStyle w:val="Atto"/>
        <w:keepNext/>
        <w:spacing w:after="120" w:before="240" w:line="360"/>
        <w:jc w:val="center"/>
      </w:pPr>
      <w:r>
        <w:rPr>
          <w:rFonts w:ascii="Times New Roman" w:cs="Times New Roman" w:eastAsia="Times New Roman" w:hAnsi="Times New Roman"/>
          <w:b/>
          <w:bCs/>
          <w:spacing w:val="20"/>
          <w:sz w:val="24"/>
          <w:szCs w:val="24"/>
        </w:rPr>
        <w:t xml:space="preserve">TRA</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[parte A]</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residente/con sede in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assistita dall'avv.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del Foro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PEC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[parte B]</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residente/con sede in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assistita dall'avv.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del Foro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PEC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w:t>
      </w:r>
      <w:r>
        <w:rPr>
          <w:rFonts w:ascii="Calibri" w:cs="Calibri" w:eastAsia="Calibri" w:hAnsi="Calibri"/>
          <w:color w:val="7A817E"/>
          <w:sz w:val="18"/>
          <w:szCs w:val="18"/>
          <w:vertAlign w:val="superscript"/>
        </w:rPr>
        <w:t xml:space="preserve">(almeno un avvocato per parte: comma 5)</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PREMESSO CHE</w:t>
      </w:r>
    </w:p>
    <w:p>
      <w:pPr>
        <w:pStyle w:val="Atto"/>
        <w:numPr>
          <w:ilvl w:val="0"/>
          <w:numId w:val="2"/>
        </w:numPr>
        <w:spacing w:after="120" w:before="0" w:line="360"/>
        <w:ind w:left="567" w:hanging="340"/>
        <w:jc w:val="both"/>
      </w:pPr>
      <w:r>
        <w:rPr>
          <w:rFonts w:ascii="Times New Roman" w:cs="Times New Roman" w:eastAsia="Times New Roman" w:hAnsi="Times New Roman"/>
          <w:sz w:val="24"/>
          <w:szCs w:val="24"/>
        </w:rPr>
        <w:t xml:space="preserve">tra le parti è insorta una controversia avente ad oggetto </w:t>
      </w:r>
      <w:r>
        <w:rPr>
          <w:rFonts w:ascii="Times New Roman" w:cs="Times New Roman" w:eastAsia="Times New Roman" w:hAnsi="Times New Roman"/>
          <w:sz w:val="24"/>
          <w:szCs w:val="24"/>
          <w:highlight w:val="yellow"/>
          <w:highlightCs w:val="yellow"/>
        </w:rPr>
        <w:t xml:space="preserve">[descrizione, identica o più ampia di quella dell'invito del ____]</w:t>
      </w:r>
      <w:r>
        <w:rPr>
          <w:rFonts w:ascii="Times New Roman" w:cs="Times New Roman" w:eastAsia="Times New Roman" w:hAnsi="Times New Roman"/>
          <w:sz w:val="24"/>
          <w:szCs w:val="24"/>
        </w:rPr>
        <w:t xml:space="preserve">;</w:t>
      </w:r>
    </w:p>
    <w:p>
      <w:pPr>
        <w:pStyle w:val="Atto"/>
        <w:numPr>
          <w:ilvl w:val="0"/>
          <w:numId w:val="2"/>
        </w:numPr>
        <w:spacing w:after="120" w:before="0" w:line="360"/>
        <w:ind w:left="567" w:hanging="340"/>
        <w:jc w:val="both"/>
      </w:pPr>
      <w:r>
        <w:rPr>
          <w:rFonts w:ascii="Times New Roman" w:cs="Times New Roman" w:eastAsia="Times New Roman" w:hAnsi="Times New Roman"/>
          <w:sz w:val="24"/>
          <w:szCs w:val="24"/>
        </w:rPr>
        <w:t xml:space="preserve">la controversia non riguarda diritti indisponibili (art. 2, comma 2, lett. b);</w:t>
      </w:r>
    </w:p>
    <w:p>
      <w:pPr>
        <w:pStyle w:val="Atto"/>
        <w:numPr>
          <w:ilvl w:val="0"/>
          <w:numId w:val="2"/>
        </w:numPr>
        <w:spacing w:after="120" w:before="0" w:line="360"/>
        <w:ind w:left="567" w:hanging="340"/>
        <w:jc w:val="both"/>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la negoziazione costituisce condizione di procedibilità ai sensi dell'art. 3, comma 1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pStyle w:val="Atto"/>
        <w:numPr>
          <w:ilvl w:val="0"/>
          <w:numId w:val="2"/>
        </w:numPr>
        <w:spacing w:after="120" w:before="0" w:line="360"/>
        <w:ind w:left="567" w:hanging="340"/>
        <w:jc w:val="both"/>
      </w:pPr>
      <w:r>
        <w:rPr>
          <w:rFonts w:ascii="Times New Roman" w:cs="Times New Roman" w:eastAsia="Times New Roman" w:hAnsi="Times New Roman"/>
          <w:sz w:val="24"/>
          <w:szCs w:val="24"/>
        </w:rPr>
        <w:t xml:space="preserve">gli avvocati hanno informato i propri assistiti della possibilità di ricorrere alla convenzione di negoziazione assistita (art. 2, comma 7);</w:t>
      </w:r>
    </w:p>
    <w:p>
      <w:pPr>
        <w:pStyle w:val="Atto"/>
        <w:numPr>
          <w:ilvl w:val="0"/>
          <w:numId w:val="2"/>
        </w:numPr>
        <w:spacing w:after="120" w:before="0" w:line="360"/>
        <w:ind w:left="567" w:hanging="340"/>
        <w:jc w:val="both"/>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le parti convengono di utilizzare il presente testo in luogo del modello elaborato dal Consiglio nazionale forense (art. 2, comma 7-bis)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la presente convenzione è redatta sul modello elaborato dal Consiglio nazionale forense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hyperlink w:history="1" w:anchor="nota_5">
        <w:r>
          <w:rPr>
            <w:rFonts w:ascii="Calibri" w:cs="Calibri" w:eastAsia="Calibri" w:hAnsi="Calibri"/>
            <w:color w:val="7A817E"/>
            <w:sz w:val="18"/>
            <w:szCs w:val="18"/>
            <w:vertAlign w:val="superscript"/>
          </w:rPr>
          <w:t xml:space="preserve">(5)</w:t>
        </w:r>
      </w:hyperlink>
    </w:p>
    <w:p>
      <w:pPr>
        <w:pStyle w:val="Atto"/>
        <w:keepNext/>
        <w:spacing w:after="120" w:before="240" w:line="360"/>
        <w:jc w:val="center"/>
      </w:pPr>
      <w:r>
        <w:rPr>
          <w:rFonts w:ascii="Times New Roman" w:cs="Times New Roman" w:eastAsia="Times New Roman" w:hAnsi="Times New Roman"/>
          <w:b/>
          <w:bCs/>
          <w:spacing w:val="20"/>
          <w:sz w:val="24"/>
          <w:szCs w:val="24"/>
        </w:rPr>
        <w:t xml:space="preserve">CONVENGONO</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Oggetto. Le parti si impegnano a cooperare in buona fede e con lealtà per risolvere in via amichevole la controversia descritta in premessa, con l'assistenza dei rispettivi avvocati.</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Termine. La procedura si svolge entro </w:t>
      </w:r>
      <w:r>
        <w:rPr>
          <w:rFonts w:ascii="Times New Roman" w:cs="Times New Roman" w:eastAsia="Times New Roman" w:hAnsi="Times New Roman"/>
          <w:sz w:val="24"/>
          <w:szCs w:val="24"/>
          <w:highlight w:val="yellow"/>
          <w:highlightCs w:val="yellow"/>
        </w:rPr>
        <w:t xml:space="preserve">[__]</w:t>
      </w:r>
      <w:r>
        <w:rPr>
          <w:rFonts w:ascii="Times New Roman" w:cs="Times New Roman" w:eastAsia="Times New Roman" w:hAnsi="Times New Roman"/>
          <w:sz w:val="24"/>
          <w:szCs w:val="24"/>
        </w:rPr>
        <w:t xml:space="preserve"> mesi dalla sottoscrizione (non meno di un mese e non più di tre), prorogabile per ulteriori trenta giorni su accordo delle parti (art. 2, comma 2, lett. a). </w:t>
      </w:r>
      <w:hyperlink w:history="1" w:anchor="nota_6">
        <w:r>
          <w:rPr>
            <w:rFonts w:ascii="Calibri" w:cs="Calibri" w:eastAsia="Calibri" w:hAnsi="Calibri"/>
            <w:color w:val="7A817E"/>
            <w:sz w:val="18"/>
            <w:szCs w:val="18"/>
            <w:vertAlign w:val="superscript"/>
          </w:rPr>
          <w:t xml:space="preserve">(6)</w:t>
        </w:r>
      </w:hyperlink>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Facoltà istruttorie e modalità (art. 2, comma 2-bis) – barrare quelle convenute:</w:t>
      </w:r>
    </w:p>
    <w:tbl>
      <w:tblPr>
        <w:tblW w:type="dxa" w:w="8505"/>
        <w:tblInd w:type="dxa" w:w="567"/>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8505"/>
      </w:tblGrid>
      <w:tr>
        <w:trPr>
          <w:cantSplit w:val="false"/>
        </w:trPr>
        <w:tc>
          <w:tcPr>
            <w:tcW w:type="dxa" w:w="8505"/>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a) è consentito acquisire dichiarazioni di terzi su fatti rilevanti, nelle forme dell'art. 4-bis, presso lo studio di un avvocato o il Consiglio dell'ordine, alla presenza degli avvocati delle altre parti</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b) è consentito invitare la controparte a rendere per iscritto dichiarazioni su fatti ad essa sfavorevoli, nelle forme dell'art. 4-ter</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c) la negoziazione può svolgersi con modalità telematiche (art. 2-bis, commi 1-2)</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d) gli incontri possono svolgersi con collegamenti audiovisivi a distanza (art. 2-bis, commi 3-4) </w:t>
            </w:r>
            <w:hyperlink w:history="1" w:anchor="nota_7">
              <w:r>
                <w:rPr>
                  <w:rFonts w:ascii="Calibri" w:cs="Calibri" w:eastAsia="Calibri" w:hAnsi="Calibri"/>
                  <w:color w:val="7A817E"/>
                  <w:sz w:val="18"/>
                  <w:szCs w:val="18"/>
                  <w:vertAlign w:val="superscript"/>
                </w:rPr>
                <w:t xml:space="preserve">(7)</w:t>
              </w:r>
            </w:hyperlink>
          </w:p>
        </w:tc>
      </w:tr>
    </w:tbl>
    <w:p>
      <w:pPr>
        <w:spacing w:after="0" w:before="0" w:line="160"/>
      </w:pP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Incontri. Il primo incontro si terrà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presso </w:t>
      </w:r>
      <w:r>
        <w:rPr>
          <w:rFonts w:ascii="Times New Roman" w:cs="Times New Roman" w:eastAsia="Times New Roman" w:hAnsi="Times New Roman"/>
          <w:sz w:val="24"/>
          <w:szCs w:val="24"/>
          <w:highlight w:val="yellow"/>
          <w:highlightCs w:val="yellow"/>
        </w:rPr>
        <w:t xml:space="preserve">[studio / da remoto]</w:t>
      </w:r>
      <w:r>
        <w:rPr>
          <w:rFonts w:ascii="Times New Roman" w:cs="Times New Roman" w:eastAsia="Times New Roman" w:hAnsi="Times New Roman"/>
          <w:sz w:val="24"/>
          <w:szCs w:val="24"/>
        </w:rPr>
        <w:t xml:space="preserve">; i successivi saranno concordati tra gli avvocati.</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Riservatezza. Le parti e gli avvocati si impegnano a tenere riservate le informazioni ricevute; le dichiarazioni rese e le informazioni acquisite non possono essere utilizzate nel giudizio avente in tutto o in parte il medesimo oggetto (art. 9, comma 2).</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Esito. In caso di accordo, questo sarà redatto per iscritto, indicherà il proprio valore (art. 5, comma 1-bis) e sarà sottoscritto dalle parti e dagli avvocati, che ne certificano l'autografia delle firme e la conformità alle norme imperative e all'ordine pubblico (art. 5, comma 2). In mancanza di accordo, gli avvocati certificano la dichiarazione di mancato accordo (art. 4, comma 3).</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Compensi. Ciascuna parte provvede al compenso del proprio avvocato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salvo quanto previsto per la parte ammessa al patrocinio a spese dello Stato (artt. 11-bis ss.)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99"/>
        <w:gridCol w:w="4173"/>
      </w:tblGrid>
      <w:tr>
        <w:trPr>
          <w:cantSplit/>
        </w:trPr>
        <w:tc>
          <w:tcPr>
            <w:tcW w:type="dxa" w:w="4899"/>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[firma parte A]</w:t>
            </w:r>
          </w:p>
        </w:tc>
        <w:tc>
          <w:tcPr>
            <w:tcW w:type="dxa" w:w="4173"/>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[firma parte B]</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Gli avvocati certificano l'autografia delle sottoscrizioni che precedono (art. 2, comma 6).</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99"/>
        <w:gridCol w:w="4173"/>
      </w:tblGrid>
      <w:tr>
        <w:trPr>
          <w:cantSplit/>
        </w:trPr>
        <w:tc>
          <w:tcPr>
            <w:tcW w:type="dxa" w:w="4899"/>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[____]</w:t>
            </w:r>
          </w:p>
        </w:tc>
        <w:tc>
          <w:tcPr>
            <w:tcW w:type="dxa" w:w="4173"/>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[____]</w:t>
            </w:r>
          </w:p>
        </w:tc>
      </w:tr>
    </w:tbl>
    <w:p>
      <w:pPr>
        <w:spacing w:after="0" w:before="0" w:line="160"/>
      </w:pPr>
    </w:p>
    <w:p>
      <w:pPr>
        <w:sectPr>
          <w:footerReference w:type="default" r:id="rId8"/>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3" w:id="3"/>
      <w:r>
        <w:rPr>
          <w:rFonts w:ascii="Calibri" w:cs="Calibri" w:eastAsia="Calibri" w:hAnsi="Calibri"/>
          <w:b/>
          <w:bCs/>
          <w:color w:val="7A817E"/>
          <w:spacing w:val="8"/>
          <w:sz w:val="16"/>
          <w:szCs w:val="16"/>
        </w:rPr>
        <w:t xml:space="preserve">MODELLO C — DICHIARAZIONE DI MANCATO ACCORDO (ART. 4, COMMA 3) · C1 — DOPO LA CONVENZIONE</w:t>
      </w:r>
      <w:bookmarkEnd w:id="3"/>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keepNext/>
        <w:spacing w:after="60" w:before="240" w:line="300"/>
        <w:jc w:val="center"/>
      </w:pPr>
      <w:r>
        <w:rPr>
          <w:rFonts w:ascii="Times New Roman" w:cs="Times New Roman" w:eastAsia="Times New Roman" w:hAnsi="Times New Roman"/>
          <w:b/>
          <w:bCs/>
          <w:spacing w:val="30"/>
          <w:sz w:val="30"/>
          <w:szCs w:val="30"/>
        </w:rPr>
        <w:t xml:space="preserve">DICHIARAZIONE DI MANCATO ACCORDO (art. 4, comma 3, d.l. 132/2014)</w:t>
      </w:r>
    </w:p>
    <w:p>
      <w:pPr>
        <w:pStyle w:val="Atto"/>
        <w:spacing w:after="120" w:before="0" w:line="360"/>
        <w:jc w:val="both"/>
      </w:pPr>
      <w:r>
        <w:rPr>
          <w:rFonts w:ascii="Times New Roman" w:cs="Times New Roman" w:eastAsia="Times New Roman" w:hAnsi="Times New Roman"/>
          <w:sz w:val="24"/>
          <w:szCs w:val="24"/>
        </w:rPr>
        <w:t xml:space="preserve">I sottoscritti 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per </w:t>
      </w:r>
      <w:r>
        <w:rPr>
          <w:rFonts w:ascii="Times New Roman" w:cs="Times New Roman" w:eastAsia="Times New Roman" w:hAnsi="Times New Roman"/>
          <w:sz w:val="24"/>
          <w:szCs w:val="24"/>
          <w:highlight w:val="yellow"/>
          <w:highlightCs w:val="yellow"/>
        </w:rPr>
        <w:t xml:space="preserve">[parte A]</w:t>
      </w:r>
      <w:r>
        <w:rPr>
          <w:rFonts w:ascii="Times New Roman" w:cs="Times New Roman" w:eastAsia="Times New Roman" w:hAnsi="Times New Roman"/>
          <w:sz w:val="24"/>
          <w:szCs w:val="24"/>
        </w:rPr>
        <w:t xml:space="preserve">, e 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per </w:t>
      </w:r>
      <w:r>
        <w:rPr>
          <w:rFonts w:ascii="Times New Roman" w:cs="Times New Roman" w:eastAsia="Times New Roman" w:hAnsi="Times New Roman"/>
          <w:sz w:val="24"/>
          <w:szCs w:val="24"/>
          <w:highlight w:val="yellow"/>
          <w:highlightCs w:val="yellow"/>
        </w:rPr>
        <w:t xml:space="preserve">[parte B]</w:t>
      </w:r>
      <w:r>
        <w:rPr>
          <w:rFonts w:ascii="Times New Roman" w:cs="Times New Roman" w:eastAsia="Times New Roman" w:hAnsi="Times New Roman"/>
          <w:sz w:val="24"/>
          <w:szCs w:val="24"/>
        </w:rPr>
        <w:t xml:space="preserve">, certificano che la procedura di negoziazione assistita relativa alla convenzione sottoscritta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avente ad oggetto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si è conclusa in data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senza accordo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per decorso del termine convenuto, scaduto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shd w:fill="DCDCDC" w:color="auto" w:val="clear"/>
        </w:rPr>
        <w:t xml:space="preserve"> (art. 2, comma 2, lett. a); art. 3, comma 2)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07"/>
        <w:gridCol w:w="1797"/>
        <w:gridCol w:w="2568"/>
      </w:tblGrid>
      <w:tr>
        <w:trPr>
          <w:cantSplit/>
        </w:trPr>
        <w:tc>
          <w:tcPr>
            <w:tcW w:type="dxa" w:w="4707"/>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[Luogo, data]</w:t>
            </w:r>
          </w:p>
        </w:tc>
        <w:tc>
          <w:tcPr>
            <w:tcW w:type="dxa" w:w="1797"/>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[____]</w:t>
            </w:r>
          </w:p>
        </w:tc>
        <w:tc>
          <w:tcPr>
            <w:tcW w:type="dxa" w:w="2568"/>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[____]</w:t>
            </w:r>
          </w:p>
        </w:tc>
      </w:tr>
    </w:tbl>
    <w:p>
      <w:pPr>
        <w:spacing w:after="0" w:before="0" w:line="160"/>
      </w:pPr>
    </w:p>
    <w:p>
      <w:pPr>
        <w:sectPr>
          <w:footerReference w:type="default" r:id="rId9"/>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4" w:id="4"/>
      <w:r>
        <w:rPr>
          <w:rFonts w:ascii="Calibri" w:cs="Calibri" w:eastAsia="Calibri" w:hAnsi="Calibri"/>
          <w:b/>
          <w:bCs/>
          <w:color w:val="7A817E"/>
          <w:spacing w:val="8"/>
          <w:sz w:val="16"/>
          <w:szCs w:val="16"/>
        </w:rPr>
        <w:t xml:space="preserve">MODELLO C — DICHIARAZIONE DI MANCATO ACCORDO (ART. 4, COMMA 3) · C2 — INVITO SENZA ADESIONE O RIFIUTATO</w:t>
      </w:r>
      <w:bookmarkEnd w:id="4"/>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rPr>
        <w:t xml:space="preserve">L'avv.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difensore di </w:t>
      </w:r>
      <w:r>
        <w:rPr>
          <w:rFonts w:ascii="Times New Roman" w:cs="Times New Roman" w:eastAsia="Times New Roman" w:hAnsi="Times New Roman"/>
          <w:sz w:val="24"/>
          <w:szCs w:val="24"/>
          <w:highlight w:val="yellow"/>
          <w:highlightCs w:val="yellow"/>
        </w:rPr>
        <w:t xml:space="preserve">[parte invitante]</w:t>
      </w:r>
      <w:r>
        <w:rPr>
          <w:rFonts w:ascii="Times New Roman" w:cs="Times New Roman" w:eastAsia="Times New Roman" w:hAnsi="Times New Roman"/>
          <w:sz w:val="24"/>
          <w:szCs w:val="24"/>
        </w:rPr>
        <w:t xml:space="preserve">, dà atto che l'invito a stipulare una convenzione di negoziazione assistita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avente ad oggetto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è stato ricevuto da </w:t>
      </w:r>
      <w:r>
        <w:rPr>
          <w:rFonts w:ascii="Times New Roman" w:cs="Times New Roman" w:eastAsia="Times New Roman" w:hAnsi="Times New Roman"/>
          <w:sz w:val="24"/>
          <w:szCs w:val="24"/>
          <w:highlight w:val="yellow"/>
          <w:highlightCs w:val="yellow"/>
        </w:rPr>
        <w:t xml:space="preserve">[parte invitata]</w:t>
      </w:r>
      <w:r>
        <w:rPr>
          <w:rFonts w:ascii="Times New Roman" w:cs="Times New Roman" w:eastAsia="Times New Roman" w:hAnsi="Times New Roman"/>
          <w:sz w:val="24"/>
          <w:szCs w:val="24"/>
        </w:rPr>
        <w:t xml:space="preserve">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(ricevuta di avvenuta consegna PEC / avviso di ricevimento allegati) 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non è stato seguito da adesione entro trenta giorni dalla ricezione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è stato rifiutato con comunicazione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shd w:fill="DCDCDC" w:color="auto" w:val="clear"/>
        </w:rPr>
        <w:t xml:space="preserve">, allegata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(art. 3, comma 2, e art. 4, comma 1, d.l. 132/2014).</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90"/>
        <w:gridCol w:w="4082"/>
      </w:tblGrid>
      <w:tr>
        <w:trPr>
          <w:cantSplit/>
        </w:trPr>
        <w:tc>
          <w:tcPr>
            <w:tcW w:type="dxa" w:w="4990"/>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[Luogo, data]</w:t>
            </w:r>
          </w:p>
        </w:tc>
        <w:tc>
          <w:tcPr>
            <w:tcW w:type="dxa" w:w="4082"/>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[____]</w:t>
            </w:r>
          </w:p>
        </w:tc>
      </w:tr>
    </w:tbl>
    <w:p>
      <w:pPr>
        <w:spacing w:after="0" w:before="0" w:line="160"/>
      </w:pPr>
    </w:p>
    <w:p>
      <w:pPr>
        <w:sectPr>
          <w:footerReference w:type="default" r:id="rId10"/>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5" w:id="5"/>
      <w:r>
        <w:rPr>
          <w:rFonts w:ascii="Calibri" w:cs="Calibri" w:eastAsia="Calibri" w:hAnsi="Calibri"/>
          <w:b/>
          <w:bCs/>
          <w:color w:val="7A817E"/>
          <w:spacing w:val="8"/>
          <w:sz w:val="16"/>
          <w:szCs w:val="16"/>
        </w:rPr>
        <w:t xml:space="preserve">MODELLO D — RISPOSTA ALL'INVITO (ADESIONE O RIFIUTO MOTIVATO)</w:t>
      </w:r>
      <w:bookmarkEnd w:id="5"/>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rPr>
        <w:t xml:space="preserve">In riscontro al Vostro invito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ricevuto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[parte invitata]</w:t>
      </w:r>
      <w:r>
        <w:rPr>
          <w:rFonts w:ascii="Times New Roman" w:cs="Times New Roman" w:eastAsia="Times New Roman" w:hAnsi="Times New Roman"/>
          <w:sz w:val="24"/>
          <w:szCs w:val="24"/>
        </w:rPr>
        <w:t xml:space="preserve">, assistita dall'avv.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ADERISCE e propone di sottoscrivere la convenzione il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con un termine di </w:t>
            </w:r>
            <w:r>
              <w:rPr>
                <w:rFonts w:ascii="Times New Roman" w:cs="Times New Roman" w:eastAsia="Times New Roman" w:hAnsi="Times New Roman"/>
                <w:sz w:val="22"/>
                <w:szCs w:val="22"/>
                <w:highlight w:val="yellow"/>
                <w:highlightCs w:val="yellow"/>
              </w:rPr>
              <w:t xml:space="preserve">[__]</w:t>
            </w:r>
            <w:r>
              <w:rPr>
                <w:rFonts w:ascii="Times New Roman" w:cs="Times New Roman" w:eastAsia="Times New Roman" w:hAnsi="Times New Roman"/>
                <w:sz w:val="22"/>
                <w:szCs w:val="22"/>
              </w:rPr>
              <w:t xml:space="preserve"> mesi</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NON ADERISCE per le seguenti ragioni: </w:t>
            </w:r>
            <w:r>
              <w:rPr>
                <w:rFonts w:ascii="Times New Roman" w:cs="Times New Roman" w:eastAsia="Times New Roman" w:hAnsi="Times New Roman"/>
                <w:i/>
                <w:iCs/>
                <w:sz w:val="22"/>
                <w:szCs w:val="22"/>
                <w:highlight w:val="yellow"/>
                <w:highlightCs w:val="yellow"/>
              </w:rPr>
              <w:t xml:space="preserve">[ragioni concrete: la pretesa è già stata soddisfatta / la materia rientra nella mediazione obbligatoria / il contratto è tra professionista e consumatore / ____]</w:t>
            </w:r>
            <w:r>
              <w:rPr>
                <w:rFonts w:ascii="Times New Roman" w:cs="Times New Roman" w:eastAsia="Times New Roman" w:hAnsi="Times New Roman"/>
                <w:sz w:val="22"/>
                <w:szCs w:val="22"/>
              </w:rPr>
              <w:t xml:space="preserve">.</w:t>
            </w:r>
          </w:p>
        </w:tc>
      </w:tr>
    </w:tbl>
    <w:p>
      <w:pPr>
        <w:spacing w:after="0" w:before="0" w:line="160"/>
      </w:pPr>
    </w:p>
    <w:p>
      <w:pPr>
        <w:sectPr>
          <w:footerReference w:type="default" r:id="rId11"/>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6" w:id="6"/>
      <w:r>
        <w:rPr>
          <w:rFonts w:ascii="Calibri" w:cs="Calibri" w:eastAsia="Calibri" w:hAnsi="Calibri"/>
          <w:b/>
          <w:bCs/>
          <w:color w:val="7A817E"/>
          <w:spacing w:val="8"/>
          <w:sz w:val="16"/>
          <w:szCs w:val="16"/>
        </w:rPr>
        <w:t xml:space="preserve">MODELLO E — CLAUSOLE PER LA NEGOZIAZIONE IN MATERIA DI LAVORO (ART. 2-TER)</w:t>
      </w:r>
      <w:bookmarkEnd w:id="6"/>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rPr>
        <w:t xml:space="preserve">Da inserire nella convenzione (Modello B):</w:t>
      </w:r>
    </w:p>
    <w:p>
      <w:pPr>
        <w:pStyle w:val="Atto"/>
        <w:numPr>
          <w:ilvl w:val="0"/>
          <w:numId w:val="2"/>
        </w:numPr>
        <w:spacing w:after="120" w:before="0" w:line="360"/>
        <w:ind w:left="567" w:hanging="340"/>
        <w:jc w:val="both"/>
      </w:pPr>
      <w:r>
        <w:rPr>
          <w:rFonts w:ascii="Times New Roman" w:cs="Times New Roman" w:eastAsia="Times New Roman" w:hAnsi="Times New Roman"/>
          <w:sz w:val="24"/>
          <w:szCs w:val="24"/>
        </w:rPr>
        <w:t xml:space="preserve">«La controversia rientra tra quelle dell'art. 409 c.p.c.; la negoziazione non costituisce condizione di procedibilità della domanda giudiziale (art. 2-ter, d.l. 132/2014), fermo quanto disposto dall'art. 412-ter c.p.c.»</w:t>
      </w:r>
    </w:p>
    <w:p>
      <w:pPr>
        <w:pStyle w:val="Atto"/>
        <w:numPr>
          <w:ilvl w:val="0"/>
          <w:numId w:val="2"/>
        </w:numPr>
        <w:spacing w:after="120" w:before="0" w:line="360"/>
        <w:ind w:left="567" w:hanging="340"/>
        <w:jc w:val="both"/>
      </w:pPr>
      <w:r>
        <w:rPr>
          <w:rFonts w:ascii="Times New Roman" w:cs="Times New Roman" w:eastAsia="Times New Roman" w:hAnsi="Times New Roman"/>
          <w:sz w:val="24"/>
          <w:szCs w:val="24"/>
        </w:rPr>
        <w:t xml:space="preserve">«Ciascuna parte è assistita da almeno un avvocato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 la parte </w:t>
      </w:r>
      <w:r>
        <w:rPr>
          <w:rFonts w:ascii="Times New Roman" w:cs="Times New Roman" w:eastAsia="Times New Roman" w:hAnsi="Times New Roman"/>
          <w:sz w:val="24"/>
          <w:szCs w:val="24"/>
          <w:highlight w:val="yellow"/>
          <w:highlightCs w:val="yellow"/>
        </w:rPr>
        <w:t xml:space="preserve">[__]</w:t>
      </w:r>
      <w:r>
        <w:rPr>
          <w:rFonts w:ascii="Times New Roman" w:cs="Times New Roman" w:eastAsia="Times New Roman" w:hAnsi="Times New Roman"/>
          <w:sz w:val="24"/>
          <w:szCs w:val="24"/>
          <w:shd w:fill="DCDCDC" w:color="auto" w:val="clear"/>
        </w:rPr>
        <w:t xml:space="preserve"> anche dal consulente del lavoro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Da inserire nell'accordo:</w:t>
      </w:r>
    </w:p>
    <w:p>
      <w:pPr>
        <w:pStyle w:val="Atto"/>
        <w:numPr>
          <w:ilvl w:val="0"/>
          <w:numId w:val="2"/>
        </w:numPr>
        <w:spacing w:after="120" w:before="0" w:line="360"/>
        <w:ind w:left="567" w:hanging="340"/>
        <w:jc w:val="both"/>
      </w:pPr>
      <w:r>
        <w:rPr>
          <w:rFonts w:ascii="Times New Roman" w:cs="Times New Roman" w:eastAsia="Times New Roman" w:hAnsi="Times New Roman"/>
          <w:sz w:val="24"/>
          <w:szCs w:val="24"/>
        </w:rPr>
        <w:t xml:space="preserve">«All'accordo si applica l'art. 2113, quarto comma, del codice civile.»</w:t>
      </w:r>
    </w:p>
    <w:p>
      <w:pPr>
        <w:pStyle w:val="Atto"/>
        <w:numPr>
          <w:ilvl w:val="0"/>
          <w:numId w:val="2"/>
        </w:numPr>
        <w:spacing w:after="120" w:before="0" w:line="360"/>
        <w:ind w:left="567" w:hanging="340"/>
        <w:jc w:val="both"/>
      </w:pPr>
      <w:r>
        <w:rPr>
          <w:rFonts w:ascii="Times New Roman" w:cs="Times New Roman" w:eastAsia="Times New Roman" w:hAnsi="Times New Roman"/>
          <w:sz w:val="24"/>
          <w:szCs w:val="24"/>
        </w:rPr>
        <w:t xml:space="preserve">«Le parti si danno atto che l'accordo sarà trasmesso a cura di </w:t>
      </w:r>
      <w:r>
        <w:rPr>
          <w:rFonts w:ascii="Times New Roman" w:cs="Times New Roman" w:eastAsia="Times New Roman" w:hAnsi="Times New Roman"/>
          <w:sz w:val="24"/>
          <w:szCs w:val="24"/>
          <w:highlight w:val="yellow"/>
          <w:highlightCs w:val="yellow"/>
        </w:rPr>
        <w:t xml:space="preserve">[parte]</w:t>
      </w:r>
      <w:r>
        <w:rPr>
          <w:rFonts w:ascii="Times New Roman" w:cs="Times New Roman" w:eastAsia="Times New Roman" w:hAnsi="Times New Roman"/>
          <w:sz w:val="24"/>
          <w:szCs w:val="24"/>
        </w:rPr>
        <w:t xml:space="preserve">, entro dieci giorni, a </w:t>
      </w:r>
      <w:r>
        <w:rPr>
          <w:rFonts w:ascii="Times New Roman" w:cs="Times New Roman" w:eastAsia="Times New Roman" w:hAnsi="Times New Roman"/>
          <w:sz w:val="24"/>
          <w:szCs w:val="24"/>
          <w:highlight w:val="yellow"/>
          <w:highlightCs w:val="yellow"/>
        </w:rPr>
        <w:t xml:space="preserve">[organismo di cui all'art. 76 del d.lgs. 10 settembre 2003, n. 276: ____]</w:t>
      </w:r>
      <w:r>
        <w:rPr>
          <w:rFonts w:ascii="Times New Roman" w:cs="Times New Roman" w:eastAsia="Times New Roman" w:hAnsi="Times New Roman"/>
          <w:sz w:val="24"/>
          <w:szCs w:val="24"/>
        </w:rPr>
        <w:t xml:space="preserve">.»</w:t>
      </w:r>
    </w:p>
    <w:p>
      <w:pPr>
        <w:sectPr>
          <w:footerReference w:type="default" r:id="rId12"/>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7" w:id="7"/>
      <w:r>
        <w:rPr>
          <w:rFonts w:ascii="Calibri" w:cs="Calibri" w:eastAsia="Calibri" w:hAnsi="Calibri"/>
          <w:b/>
          <w:bCs/>
          <w:color w:val="7A817E"/>
          <w:spacing w:val="8"/>
          <w:sz w:val="16"/>
          <w:szCs w:val="16"/>
        </w:rPr>
        <w:t xml:space="preserve">MODELLO F — CLAUSOLE ESSENZIALI PER L'ACCORDO IN MATERIA DI FAMIGLIA (ART. 6)</w:t>
      </w:r>
      <w:bookmarkEnd w:id="7"/>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numPr>
          <w:ilvl w:val="0"/>
          <w:numId w:val="2"/>
        </w:numPr>
        <w:spacing w:after="120" w:before="0" w:line="360"/>
        <w:ind w:left="567" w:hanging="340"/>
        <w:jc w:val="both"/>
      </w:pPr>
      <w:r>
        <w:rPr>
          <w:rFonts w:ascii="Times New Roman" w:cs="Times New Roman" w:eastAsia="Times New Roman" w:hAnsi="Times New Roman"/>
          <w:sz w:val="24"/>
          <w:szCs w:val="24"/>
        </w:rPr>
        <w:t xml:space="preserve">«Gli avvocati danno atto di aver tentato di conciliare le parti, di averle informate della possibilità di esperire la mediazione familiare e dell'importanza per il minore di trascorrere tempi adeguati con ciascuno dei genitori» (art. 6, comma 3).</w:t>
      </w:r>
    </w:p>
    <w:p>
      <w:pPr>
        <w:pStyle w:val="Atto"/>
        <w:numPr>
          <w:ilvl w:val="0"/>
          <w:numId w:val="2"/>
        </w:numPr>
        <w:spacing w:after="120" w:before="0" w:line="360"/>
        <w:ind w:left="567" w:hanging="340"/>
        <w:jc w:val="both"/>
      </w:pPr>
      <w:r>
        <w:rPr>
          <w:rFonts w:ascii="Times New Roman" w:cs="Times New Roman" w:eastAsia="Times New Roman" w:hAnsi="Times New Roman"/>
          <w:sz w:val="24"/>
          <w:szCs w:val="24"/>
        </w:rPr>
        <w:t xml:space="preserve">«Gli eventuali patti di trasferimento immobiliare contenuti nel presente accordo hanno effetti obbligatori» (art. 6, comma 3).</w:t>
      </w:r>
    </w:p>
    <w:p>
      <w:pPr>
        <w:pStyle w:val="Atto"/>
        <w:numPr>
          <w:ilvl w:val="0"/>
          <w:numId w:val="2"/>
        </w:numPr>
        <w:spacing w:after="120" w:before="0" w:line="360"/>
        <w:ind w:left="567" w:hanging="340"/>
        <w:jc w:val="both"/>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Divorzio o scioglimento dell'unione civile: «Le parti convengono la corresponsione di un assegno in unica soluzione di euro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gli avvocati ne certificano l'equità ai sensi dell'art. 5, ottavo comma, della legge 1° dicembre 1970, n. 898» (art. 6, comma 3-bis). </w:t>
      </w:r>
      <w:r>
        <w:rPr>
          <w:rFonts w:ascii="Cambria Math" w:cs="Cambria Math" w:eastAsia="Cambria Math" w:hAnsi="Cambria Math"/>
          <w:color w:val="7A817E"/>
          <w:sz w:val="24"/>
          <w:szCs w:val="24"/>
        </w:rPr>
        <w:t xml:space="preserve">⟧</w:t>
      </w:r>
    </w:p>
    <w:p>
      <w:pPr>
        <w:pStyle w:val="Atto"/>
        <w:numPr>
          <w:ilvl w:val="0"/>
          <w:numId w:val="2"/>
        </w:numPr>
        <w:spacing w:after="120" w:before="0" w:line="360"/>
        <w:ind w:left="567" w:hanging="340"/>
        <w:jc w:val="both"/>
      </w:pPr>
      <w:r>
        <w:rPr>
          <w:rFonts w:ascii="Times New Roman" w:cs="Times New Roman" w:eastAsia="Times New Roman" w:hAnsi="Times New Roman"/>
          <w:sz w:val="24"/>
          <w:szCs w:val="24"/>
        </w:rPr>
        <w:t xml:space="preserve">«L'accordo sarà trasmesso con modalità telematiche al procuratore della Repubblica presso il Tribunale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per il nullaosta (assenza di figli minori, incapaci, con handicap grave o non autosufficienti)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entro dieci giorni, per l'autorizzazione (presenza di figli ____)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(art. 6, commi 2 e 2-bis), e, munito di nullaosta o autorizzazione, al Consiglio dell'ordine per la conservazione (comma 3-ter) e, entro dieci giorni, all'ufficiale dello stato civile del Comune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(comma 3).»</w:t>
      </w:r>
    </w:p>
    <w:p>
      <w:pPr>
        <w:sectPr>
          <w:footerReference w:type="default" r:id="rId13"/>
          <w:type w:val="nextPage"/>
          <w:pgSz w:w="11906" w:h="16838" w:orient="portrait"/>
          <w:pgMar w:top="1417" w:right="1417" w:bottom="1417" w:left="1417" w:header="680" w:footer="680" w:gutter="0"/>
          <w:pgNumType/>
          <w:docGrid w:linePitch="360"/>
        </w:sectPr>
      </w:pPr>
    </w:p>
    <w:p>
      <w:pPr>
        <w:pStyle w:val="Heading1"/>
        <w:pBdr>
          <w:top w:val="single" w:color="2F5546" w:sz="18" w:space="10"/>
        </w:pBdr>
      </w:pPr>
      <w:bookmarkStart w:name="istruzioni" w:id="8"/>
      <w:r>
        <w:rPr>
          <w:rFonts w:ascii="Georgia" w:cs="Georgia" w:eastAsia="Georgia" w:hAnsi="Georgia"/>
          <w:b/>
          <w:bCs/>
          <w:color w:val="2F5546"/>
          <w:sz w:val="48"/>
          <w:szCs w:val="48"/>
        </w:rPr>
        <w:t xml:space="preserve">Istruzioni per la compilazione</w:t>
      </w:r>
      <w:bookmarkEnd w:id="8"/>
    </w:p>
    <w:p>
      <w:pPr>
        <w:pStyle w:val="Subtitle"/>
      </w:pPr>
      <w:r>
        <w:rPr>
          <w:rFonts w:ascii="Calibri" w:cs="Calibri" w:eastAsia="Calibri" w:hAnsi="Calibri"/>
          <w:color w:val="16191A"/>
          <w:sz w:val="32"/>
          <w:szCs w:val="32"/>
        </w:rPr>
        <w:t xml:space="preserve">Invito alla negoziazione assistita e convenzione di negoziazione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b/>
                <w:bCs/>
                <w:sz w:val="20"/>
                <w:szCs w:val="20"/>
              </w:rPr>
              <w:t xml:space="preserve">Formulario Chiostro · Risoluzione alternativa delle controversie</w:t>
            </w:r>
            <w:r>
              <w:rPr>
                <w:sz w:val="20"/>
                <w:szCs w:val="20"/>
              </w:rPr>
              <w:br/>
            </w:r>
            <w:r>
              <w:rPr>
                <w:rFonts w:ascii="Calibri" w:cs="Calibri" w:eastAsia="Calibri" w:hAnsi="Calibri"/>
                <w:sz w:val="20"/>
                <w:szCs w:val="20"/>
              </w:rPr>
              <w:t xml:space="preserve">Il procedimento degli artt. 2-11 del d.l. 12 settembre 2014, n. 132 (conv. l. 10 novembre 2014, n. 162), come modificati dalla riforma del processo civile (d.lgs. 149/2022) e dal correttivo (d.lgs. 216/2024): l'invito, la convenzione con le nuove clausole istruttorie, la dichiarazione di mancato accordo, le varianti per il lavoro (art. 2-ter) e per la famiglia (art. 6), il patrocinio a spese dello Stato (artt. 11-bis ss.).</w:t>
            </w:r>
          </w:p>
        </w:tc>
      </w:tr>
    </w:tbl>
    <w:p>
      <w:pPr>
        <w:spacing w:after="0" w:before="0" w:line="120"/>
      </w:pPr>
    </w:p>
    <w:p>
      <w:pPr>
        <w:pStyle w:val="Heading2"/>
      </w:pPr>
      <w:r>
        <w:rPr>
          <w:rFonts w:ascii="Georgia" w:cs="Georgia" w:eastAsia="Georgia" w:hAnsi="Georgia"/>
          <w:b/>
          <w:bCs/>
        </w:rPr>
        <w:t xml:space="preserve">1. A che cosa serve e quando si usa</w:t>
      </w:r>
    </w:p>
    <w:p>
      <w:pPr>
        <w:pStyle w:val="Corpo"/>
        <w:keepNext w:val="false"/>
        <w:spacing w:after="100" w:line="264"/>
        <w:jc w:val="left"/>
      </w:pPr>
      <w:r>
        <w:rPr>
          <w:rFonts w:ascii="Calibri" w:cs="Calibri" w:eastAsia="Calibri" w:hAnsi="Calibri"/>
          <w:sz w:val="21"/>
          <w:szCs w:val="21"/>
        </w:rPr>
        <w:t xml:space="preserve">La </w:t>
      </w:r>
      <w:r>
        <w:rPr>
          <w:rFonts w:ascii="Calibri" w:cs="Calibri" w:eastAsia="Calibri" w:hAnsi="Calibri"/>
          <w:b/>
          <w:bCs/>
          <w:sz w:val="21"/>
          <w:szCs w:val="21"/>
        </w:rPr>
        <w:t xml:space="preserve">convenzione di negoziazione assistita</w:t>
      </w:r>
      <w:r>
        <w:rPr>
          <w:rFonts w:ascii="Calibri" w:cs="Calibri" w:eastAsia="Calibri" w:hAnsi="Calibri"/>
          <w:sz w:val="21"/>
          <w:szCs w:val="21"/>
        </w:rPr>
        <w:t xml:space="preserve"> è l'accordo con cui le parti «convengono di cooperare in buona fede e con lealtà per risolvere in via amichevole la controversia tramite l'assistenza di avvocati» (art. 2, comma 1). L'</w:t>
      </w:r>
      <w:r>
        <w:rPr>
          <w:rFonts w:ascii="Calibri" w:cs="Calibri" w:eastAsia="Calibri" w:hAnsi="Calibri"/>
          <w:b/>
          <w:bCs/>
          <w:sz w:val="21"/>
          <w:szCs w:val="21"/>
        </w:rPr>
        <w:t xml:space="preserve">invito</w:t>
      </w:r>
      <w:r>
        <w:rPr>
          <w:rFonts w:ascii="Calibri" w:cs="Calibri" w:eastAsia="Calibri" w:hAnsi="Calibri"/>
          <w:sz w:val="21"/>
          <w:szCs w:val="21"/>
        </w:rPr>
        <w:t xml:space="preserve"> è l'atto con cui l'avvocato di una parte propone all'altra di stipularla (art. 4).</w:t>
      </w:r>
    </w:p>
    <w:p>
      <w:pPr>
        <w:pStyle w:val="Corpo"/>
        <w:keepNext/>
        <w:spacing w:after="100" w:before="100" w:line="264"/>
        <w:jc w:val="left"/>
      </w:pPr>
      <w:r>
        <w:rPr>
          <w:rFonts w:ascii="Calibri" w:cs="Calibri" w:eastAsia="Calibri" w:hAnsi="Calibri"/>
          <w:b/>
          <w:bCs/>
          <w:sz w:val="21"/>
          <w:szCs w:val="21"/>
        </w:rPr>
        <w:t xml:space="preserve">Quando è obbligatoria (condizione di procedibilità, art. 3, comma 1).</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sz w:val="21"/>
          <w:szCs w:val="21"/>
        </w:rPr>
        <w:t xml:space="preserve">Chi intende agire per il </w:t>
      </w:r>
      <w:r>
        <w:rPr>
          <w:rFonts w:ascii="Calibri" w:cs="Calibri" w:eastAsia="Calibri" w:hAnsi="Calibri"/>
          <w:b/>
          <w:bCs/>
          <w:sz w:val="21"/>
          <w:szCs w:val="21"/>
        </w:rPr>
        <w:t xml:space="preserve">risarcimento del danno da circolazione di veicoli e natanti</w:t>
      </w:r>
      <w:r>
        <w:rPr>
          <w:rFonts w:ascii="Calibri" w:cs="Calibri" w:eastAsia="Calibri" w:hAnsi="Calibri"/>
          <w:sz w:val="21"/>
          <w:szCs w:val="21"/>
        </w:rPr>
        <w:t xml:space="preserve">.</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sz w:val="21"/>
          <w:szCs w:val="21"/>
        </w:rPr>
        <w:t xml:space="preserve">Chi intende proporre una domanda di </w:t>
      </w:r>
      <w:r>
        <w:rPr>
          <w:rFonts w:ascii="Calibri" w:cs="Calibri" w:eastAsia="Calibri" w:hAnsi="Calibri"/>
          <w:b/>
          <w:bCs/>
          <w:sz w:val="21"/>
          <w:szCs w:val="21"/>
        </w:rPr>
        <w:t xml:space="preserve">pagamento a qualsiasi titolo di somme non eccedenti 50.000 euro</w:t>
      </w:r>
      <w:r>
        <w:rPr>
          <w:rFonts w:ascii="Calibri" w:cs="Calibri" w:eastAsia="Calibri" w:hAnsi="Calibri"/>
          <w:sz w:val="21"/>
          <w:szCs w:val="21"/>
        </w:rPr>
        <w:t xml:space="preserve">, fuori dai casi di mediazione obbligatoria. Il testo vigente rinvia ancora all'«articolo 5, comma 1-bis, del decreto legislativo 4 marzo 2010 n. 28»: è la vecchia numerazione; dopo la riforma le materie della mediazione obbligatoria sono nell'</w:t>
      </w:r>
      <w:r>
        <w:rPr>
          <w:rFonts w:ascii="Calibri" w:cs="Calibri" w:eastAsia="Calibri" w:hAnsi="Calibri"/>
          <w:b/>
          <w:bCs/>
          <w:sz w:val="21"/>
          <w:szCs w:val="21"/>
        </w:rPr>
        <w:t xml:space="preserve">art. 5, comma 1</w:t>
      </w:r>
      <w:r>
        <w:rPr>
          <w:rFonts w:ascii="Calibri" w:cs="Calibri" w:eastAsia="Calibri" w:hAnsi="Calibri"/>
          <w:sz w:val="21"/>
          <w:szCs w:val="21"/>
        </w:rPr>
        <w:t xml:space="preserve">, d.lgs. 28/2010. Se la lite rientra lì, si fa la mediazione, non la negoziazione.</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sz w:val="21"/>
          <w:szCs w:val="21"/>
        </w:rPr>
        <w:t xml:space="preserve">Chi intende agire in una controversia in materia di </w:t>
      </w:r>
      <w:r>
        <w:rPr>
          <w:rFonts w:ascii="Calibri" w:cs="Calibri" w:eastAsia="Calibri" w:hAnsi="Calibri"/>
          <w:b/>
          <w:bCs/>
          <w:sz w:val="21"/>
          <w:szCs w:val="21"/>
        </w:rPr>
        <w:t xml:space="preserve">contratto di trasporto o di sub-trasporto</w:t>
      </w:r>
      <w:r>
        <w:rPr>
          <w:rFonts w:ascii="Calibri" w:cs="Calibri" w:eastAsia="Calibri" w:hAnsi="Calibri"/>
          <w:sz w:val="21"/>
          <w:szCs w:val="21"/>
        </w:rPr>
        <w:t xml:space="preserve">, </w:t>
      </w:r>
      <w:r>
        <w:rPr>
          <w:rFonts w:ascii="Calibri" w:cs="Calibri" w:eastAsia="Calibri" w:hAnsi="Calibri"/>
          <w:b/>
          <w:bCs/>
          <w:sz w:val="21"/>
          <w:szCs w:val="21"/>
        </w:rPr>
        <w:t xml:space="preserve">di qualunque valore</w:t>
      </w:r>
      <w:r>
        <w:rPr>
          <w:rFonts w:ascii="Calibri" w:cs="Calibri" w:eastAsia="Calibri" w:hAnsi="Calibri"/>
          <w:sz w:val="21"/>
          <w:szCs w:val="21"/>
        </w:rPr>
        <w:t xml:space="preserve">: la negoziazione è «condizione dell'esercizio in giudizio» per l'art. 1, comma 249, della l. 23 dicembre 2014, n. 190, che rinvia al d.l. 132/2014 per il procedimento. Se le parti, con accordo o nel contratto, prevedono la mediazione presso le associazioni di categoria delle imprese, quella mediazione vale come negoziazione esperita. L'obbligo non riguarda l'azione diretta del vettore dell'art. 7-ter del d.lgs. 21 novembre 2005, n. 286. È il caso più dimenticato: l'art. 3 non lo menziona.</w:t>
      </w:r>
    </w:p>
    <w:p>
      <w:pPr>
        <w:pStyle w:val="Corpo"/>
        <w:keepNext/>
        <w:spacing w:after="100" w:before="100" w:line="264"/>
        <w:jc w:val="left"/>
      </w:pPr>
      <w:r>
        <w:rPr>
          <w:rFonts w:ascii="Calibri" w:cs="Calibri" w:eastAsia="Calibri" w:hAnsi="Calibri"/>
          <w:b/>
          <w:bCs/>
          <w:sz w:val="21"/>
          <w:szCs w:val="21"/>
        </w:rPr>
        <w:t xml:space="preserve">Esclusioni dall'obbligo.</w:t>
      </w:r>
    </w:p>
    <w:p>
      <w:pPr>
        <w:pStyle w:val="Corpo"/>
        <w:numPr>
          <w:ilvl w:val="0"/>
          <w:numId w:val="4"/>
        </w:numPr>
        <w:spacing w:after="60" w:line="264"/>
        <w:jc w:val="left"/>
      </w:pPr>
      <w:r>
        <w:rPr>
          <w:rFonts w:ascii="Calibri" w:cs="Calibri" w:eastAsia="Calibri" w:hAnsi="Calibri"/>
          <w:b/>
          <w:bCs/>
          <w:sz w:val="21"/>
          <w:szCs w:val="21"/>
        </w:rPr>
        <w:t xml:space="preserve">Contratti tra professionisti e consumatori</w:t>
      </w:r>
      <w:r>
        <w:rPr>
          <w:rFonts w:ascii="Calibri" w:cs="Calibri" w:eastAsia="Calibri" w:hAnsi="Calibri"/>
          <w:sz w:val="21"/>
          <w:szCs w:val="21"/>
        </w:rPr>
        <w:t xml:space="preserve">: l'obbligo «non si applica alle controversie concernenti obbligazioni contrattuali derivanti da contratti conclusi tra professionisti e consumatori» (art. 3, comma 1).</w:t>
      </w:r>
    </w:p>
    <w:p>
      <w:pPr>
        <w:pStyle w:val="Corpo"/>
        <w:numPr>
          <w:ilvl w:val="0"/>
          <w:numId w:val="4"/>
        </w:numPr>
        <w:spacing w:after="60" w:line="264"/>
        <w:jc w:val="left"/>
      </w:pPr>
      <w:r>
        <w:rPr>
          <w:rFonts w:ascii="Calibri" w:cs="Calibri" w:eastAsia="Calibri" w:hAnsi="Calibri"/>
          <w:b/>
          <w:bCs/>
          <w:sz w:val="21"/>
          <w:szCs w:val="21"/>
        </w:rPr>
        <w:t xml:space="preserve">Procedimenti</w:t>
      </w:r>
      <w:r>
        <w:rPr>
          <w:rFonts w:ascii="Calibri" w:cs="Calibri" w:eastAsia="Calibri" w:hAnsi="Calibri"/>
          <w:sz w:val="21"/>
          <w:szCs w:val="21"/>
        </w:rPr>
        <w:t xml:space="preserve"> di ingiunzione (inclusa l'opposizione), consulenza tecnica preventiva ex art. 696-bis c.p.c., opposizioni e incidenti dell'esecuzione, camera di consiglio, azione civile nel processo penale (art. 3, comma 3).</w:t>
      </w:r>
    </w:p>
    <w:p>
      <w:pPr>
        <w:pStyle w:val="Corpo"/>
        <w:numPr>
          <w:ilvl w:val="0"/>
          <w:numId w:val="4"/>
        </w:numPr>
        <w:spacing w:after="60" w:line="264"/>
        <w:jc w:val="left"/>
      </w:pPr>
      <w:r>
        <w:rPr>
          <w:rFonts w:ascii="Calibri" w:cs="Calibri" w:eastAsia="Calibri" w:hAnsi="Calibri"/>
          <w:b/>
          <w:bCs/>
          <w:sz w:val="21"/>
          <w:szCs w:val="21"/>
        </w:rPr>
        <w:t xml:space="preserve">Parte che può stare in giudizio personalmente</w:t>
      </w:r>
      <w:r>
        <w:rPr>
          <w:rFonts w:ascii="Calibri" w:cs="Calibri" w:eastAsia="Calibri" w:hAnsi="Calibri"/>
          <w:sz w:val="21"/>
          <w:szCs w:val="21"/>
        </w:rPr>
        <w:t xml:space="preserve"> (art. 3, comma 7): davanti al giudice di pace nelle cause di valore non superiore a </w:t>
      </w:r>
      <w:r>
        <w:rPr>
          <w:rFonts w:ascii="Calibri" w:cs="Calibri" w:eastAsia="Calibri" w:hAnsi="Calibri"/>
          <w:b/>
          <w:bCs/>
          <w:sz w:val="21"/>
          <w:szCs w:val="21"/>
        </w:rPr>
        <w:t xml:space="preserve">1.100 euro</w:t>
      </w:r>
      <w:r>
        <w:rPr>
          <w:rFonts w:ascii="Calibri" w:cs="Calibri" w:eastAsia="Calibri" w:hAnsi="Calibri"/>
          <w:sz w:val="21"/>
          <w:szCs w:val="21"/>
        </w:rPr>
        <w:t xml:space="preserve"> (art. 82, primo comma, c.p.c., importo sostituito dal d.l. 212/2011 secondo la nota di Normattiva).</w:t>
      </w:r>
    </w:p>
    <w:p>
      <w:pPr>
        <w:pStyle w:val="Corpo"/>
        <w:numPr>
          <w:ilvl w:val="0"/>
          <w:numId w:val="4"/>
        </w:numPr>
        <w:spacing w:after="60" w:line="264"/>
        <w:jc w:val="left"/>
      </w:pPr>
      <w:r>
        <w:rPr>
          <w:rFonts w:ascii="Calibri" w:cs="Calibri" w:eastAsia="Calibri" w:hAnsi="Calibri"/>
          <w:sz w:val="21"/>
          <w:szCs w:val="21"/>
        </w:rPr>
        <w:t xml:space="preserve">In materia di RC auto, il ricorso al sistema di risoluzione stragiudiziale dell'art. 187.1 del Codice delle assicurazioni private tiene luogo della convenzione (art. 3, comma 1, ultimo periodo).</w:t>
      </w:r>
    </w:p>
    <w:p>
      <w:pPr>
        <w:pStyle w:val="Corpo"/>
        <w:keepNext w:val="false"/>
        <w:spacing w:after="100" w:line="264"/>
        <w:jc w:val="left"/>
      </w:pPr>
      <w:r>
        <w:rPr>
          <w:rFonts w:ascii="Calibri" w:cs="Calibri" w:eastAsia="Calibri" w:hAnsi="Calibri"/>
          <w:b/>
          <w:bCs/>
          <w:sz w:val="21"/>
          <w:szCs w:val="21"/>
        </w:rPr>
        <w:t xml:space="preserve">Quando è facoltativa.</w:t>
      </w:r>
      <w:r>
        <w:rPr>
          <w:rFonts w:ascii="Calibri" w:cs="Calibri" w:eastAsia="Calibri" w:hAnsi="Calibri"/>
          <w:sz w:val="21"/>
          <w:szCs w:val="21"/>
        </w:rPr>
        <w:t xml:space="preserve"> Per ogni controversia su diritti disponibili (art. 2, comma 2, lett. b). Due usi speciali:</w:t>
      </w:r>
    </w:p>
    <w:p>
      <w:pPr>
        <w:pStyle w:val="Corpo"/>
        <w:numPr>
          <w:ilvl w:val="0"/>
          <w:numId w:val="4"/>
        </w:numPr>
        <w:spacing w:after="60" w:line="264"/>
        <w:jc w:val="left"/>
      </w:pPr>
      <w:r>
        <w:rPr>
          <w:rFonts w:ascii="Calibri" w:cs="Calibri" w:eastAsia="Calibri" w:hAnsi="Calibri"/>
          <w:b/>
          <w:bCs/>
          <w:sz w:val="21"/>
          <w:szCs w:val="21"/>
        </w:rPr>
        <w:t xml:space="preserve">Lavoro</w:t>
      </w:r>
      <w:r>
        <w:rPr>
          <w:rFonts w:ascii="Calibri" w:cs="Calibri" w:eastAsia="Calibri" w:hAnsi="Calibri"/>
          <w:sz w:val="21"/>
          <w:szCs w:val="21"/>
        </w:rPr>
        <w:t xml:space="preserve"> (art. 2-ter): per le controversie dell'art. 409 c.p.c., senza che sia condizione di procedibilità; ciascuna parte con almeno un avvocato (e, se vuole, un consulente del lavoro); all'accordo si applica l'art. 2113, quarto comma, c.c.: è una transazione </w:t>
      </w:r>
      <w:r>
        <w:rPr>
          <w:rFonts w:ascii="Calibri" w:cs="Calibri" w:eastAsia="Calibri" w:hAnsi="Calibri"/>
          <w:b/>
          <w:bCs/>
          <w:sz w:val="21"/>
          <w:szCs w:val="21"/>
        </w:rPr>
        <w:t xml:space="preserve">non impugnabile</w:t>
      </w:r>
      <w:r>
        <w:rPr>
          <w:rFonts w:ascii="Calibri" w:cs="Calibri" w:eastAsia="Calibri" w:hAnsi="Calibri"/>
          <w:sz w:val="21"/>
          <w:szCs w:val="21"/>
        </w:rPr>
        <w:t xml:space="preserve"> come quelle conciliate in sede protetta.</w:t>
      </w:r>
    </w:p>
    <w:p>
      <w:pPr>
        <w:pStyle w:val="Corpo"/>
        <w:numPr>
          <w:ilvl w:val="0"/>
          <w:numId w:val="4"/>
        </w:numPr>
        <w:spacing w:after="60" w:line="264"/>
        <w:jc w:val="left"/>
      </w:pPr>
      <w:r>
        <w:rPr>
          <w:rFonts w:ascii="Calibri" w:cs="Calibri" w:eastAsia="Calibri" w:hAnsi="Calibri"/>
          <w:b/>
          <w:bCs/>
          <w:sz w:val="21"/>
          <w:szCs w:val="21"/>
        </w:rPr>
        <w:t xml:space="preserve">Famiglia</w:t>
      </w:r>
      <w:r>
        <w:rPr>
          <w:rFonts w:ascii="Calibri" w:cs="Calibri" w:eastAsia="Calibri" w:hAnsi="Calibri"/>
          <w:sz w:val="21"/>
          <w:szCs w:val="21"/>
        </w:rPr>
        <w:t xml:space="preserve"> (art. 6): separazione, divorzio nei casi dell'art. 3, primo comma, n. 2, lett. b), l. 898/1970, modifica delle condizioni, affidamento e mantenimento dei figli nati fuori del matrimonio, mantenimento del figlio maggiorenne non autosufficiente, alimenti.</w:t>
      </w:r>
    </w:p>
    <w:p>
      <w:pPr>
        <w:pStyle w:val="Corpo"/>
        <w:keepNext/>
        <w:spacing w:after="100" w:before="100" w:line="264"/>
        <w:jc w:val="left"/>
      </w:pPr>
      <w:r>
        <w:rPr>
          <w:rFonts w:ascii="Calibri" w:cs="Calibri" w:eastAsia="Calibri" w:hAnsi="Calibri"/>
          <w:b/>
          <w:bCs/>
          <w:sz w:val="21"/>
          <w:szCs w:val="21"/>
        </w:rPr>
        <w:t xml:space="preserve">Quando NON si usa.</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sz w:val="21"/>
          <w:szCs w:val="21"/>
        </w:rPr>
        <w:t xml:space="preserve">Diritti </w:t>
      </w:r>
      <w:r>
        <w:rPr>
          <w:rFonts w:ascii="Calibri" w:cs="Calibri" w:eastAsia="Calibri" w:hAnsi="Calibri"/>
          <w:b/>
          <w:bCs/>
          <w:sz w:val="21"/>
          <w:szCs w:val="21"/>
        </w:rPr>
        <w:t xml:space="preserve">indisponibili</w:t>
      </w:r>
      <w:r>
        <w:rPr>
          <w:rFonts w:ascii="Calibri" w:cs="Calibri" w:eastAsia="Calibri" w:hAnsi="Calibri"/>
          <w:sz w:val="21"/>
          <w:szCs w:val="21"/>
        </w:rPr>
        <w:t xml:space="preserve"> (art. 2, comma 2, lett. b).</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sz w:val="21"/>
          <w:szCs w:val="21"/>
        </w:rPr>
        <w:t xml:space="preserve">Materie dell'</w:t>
      </w:r>
      <w:r>
        <w:rPr>
          <w:rFonts w:ascii="Calibri" w:cs="Calibri" w:eastAsia="Calibri" w:hAnsi="Calibri"/>
          <w:b/>
          <w:bCs/>
          <w:sz w:val="21"/>
          <w:szCs w:val="21"/>
        </w:rPr>
        <w:t xml:space="preserve">art. 5, comma 1, d.lgs. 28/2010</w:t>
      </w:r>
      <w:r>
        <w:rPr>
          <w:rFonts w:ascii="Calibri" w:cs="Calibri" w:eastAsia="Calibri" w:hAnsi="Calibri"/>
          <w:sz w:val="21"/>
          <w:szCs w:val="21"/>
        </w:rPr>
        <w:t xml:space="preserve"> (condominio, locazione, contratti bancari, ecc.): serve la </w:t>
      </w:r>
      <w:r>
        <w:rPr>
          <w:rFonts w:ascii="Calibri" w:cs="Calibri" w:eastAsia="Calibri" w:hAnsi="Calibri"/>
          <w:b/>
          <w:bCs/>
          <w:sz w:val="21"/>
          <w:szCs w:val="21"/>
        </w:rPr>
        <w:t xml:space="preserve">mediazione</w:t>
      </w:r>
      <w:r>
        <w:rPr>
          <w:rFonts w:ascii="Calibri" w:cs="Calibri" w:eastAsia="Calibri" w:hAnsi="Calibri"/>
          <w:sz w:val="21"/>
          <w:szCs w:val="21"/>
        </w:rPr>
        <w:t xml:space="preserve">.</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sz w:val="21"/>
          <w:szCs w:val="21"/>
        </w:rPr>
        <w:t xml:space="preserve">Se volete un terzo imparziale che proponga una soluzione: la negoziazione è tra avvocati, senza mediatore. La mediazione è lo strumento giusto.</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sz w:val="21"/>
          <w:szCs w:val="21"/>
        </w:rPr>
        <w:t xml:space="preserve">Per separazione o divorzio </w:t>
      </w:r>
      <w:r>
        <w:rPr>
          <w:rFonts w:ascii="Calibri" w:cs="Calibri" w:eastAsia="Calibri" w:hAnsi="Calibri"/>
          <w:b/>
          <w:bCs/>
          <w:sz w:val="21"/>
          <w:szCs w:val="21"/>
        </w:rPr>
        <w:t xml:space="preserve">senza figli minori o non autosufficienti e senza trasferimenti patrimoniali</w:t>
      </w:r>
      <w:r>
        <w:rPr>
          <w:rFonts w:ascii="Calibri" w:cs="Calibri" w:eastAsia="Calibri" w:hAnsi="Calibri"/>
          <w:sz w:val="21"/>
          <w:szCs w:val="21"/>
        </w:rPr>
        <w:t xml:space="preserve">, esiste anche la via dell'</w:t>
      </w:r>
      <w:r>
        <w:rPr>
          <w:rFonts w:ascii="Calibri" w:cs="Calibri" w:eastAsia="Calibri" w:hAnsi="Calibri"/>
          <w:b/>
          <w:bCs/>
          <w:sz w:val="21"/>
          <w:szCs w:val="21"/>
        </w:rPr>
        <w:t xml:space="preserve">ufficiale dello stato civile</w:t>
      </w:r>
      <w:r>
        <w:rPr>
          <w:rFonts w:ascii="Calibri" w:cs="Calibri" w:eastAsia="Calibri" w:hAnsi="Calibri"/>
          <w:sz w:val="21"/>
          <w:szCs w:val="21"/>
        </w:rPr>
        <w:t xml:space="preserve"> (art. 12), con assistenza facoltativa dell'avvocato: valutatela con il cliente.</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Urgenza</w:t>
      </w:r>
      <w:r>
        <w:rPr>
          <w:rFonts w:ascii="Calibri" w:cs="Calibri" w:eastAsia="Calibri" w:hAnsi="Calibri"/>
          <w:sz w:val="21"/>
          <w:szCs w:val="21"/>
        </w:rPr>
        <w:t xml:space="preserve">: la negoziazione non preclude i provvedimenti urgenti e cautelari né la trascrizione della domanda (art. 3, comma 4).</w:t>
      </w:r>
    </w:p>
    <w:p>
      <w:pPr>
        <w:pStyle w:val="Heading2"/>
      </w:pPr>
      <w:r>
        <w:rPr>
          <w:rFonts w:ascii="Georgia" w:cs="Georgia" w:eastAsia="Georgia" w:hAnsi="Georgia"/>
          <w:b/>
          <w:bCs/>
        </w:rPr>
        <w:t xml:space="preserve">2. Riferimenti normativi (testo vigente verificato il 18/10/2026)</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498"/>
        <w:gridCol w:w="4124"/>
        <w:gridCol w:w="4016"/>
      </w:tblGrid>
      <w:tr>
        <w:trPr>
          <w:cantSplit/>
          <w:tblHeader/>
        </w:trPr>
        <w:tc>
          <w:tcPr>
            <w:tcW w:type="dxa" w:w="149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Norma (d.l. 132/2014)</w:t>
            </w:r>
          </w:p>
        </w:tc>
        <w:tc>
          <w:tcPr>
            <w:tcW w:type="dxa" w:w="412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Contenuto</w:t>
            </w:r>
          </w:p>
        </w:tc>
        <w:tc>
          <w:tcPr>
            <w:tcW w:type="dxa" w:w="401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Vigenza verificata</w:t>
            </w:r>
          </w:p>
        </w:tc>
      </w:tr>
      <w:tr>
        <w:trPr>
          <w:cantSplit/>
        </w:trPr>
        <w:tc>
          <w:tcPr>
            <w:tcW w:type="dxa" w:w="149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2</w:t>
            </w:r>
          </w:p>
        </w:tc>
        <w:tc>
          <w:tcPr>
            <w:tcW w:type="dxa" w:w="41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nozione; contenuto obbligatorio della convenzione (termine 1-3 mesi + 30 giorni; oggetto); contenuto facoltativo (comma 2-bis); forma scritta a pena di nullità; almeno un avvocato per parte; certificazione delle firme; </w:t>
            </w:r>
            <w:r>
              <w:rPr>
                <w:rFonts w:ascii="Calibri" w:cs="Calibri" w:eastAsia="Calibri" w:hAnsi="Calibri"/>
                <w:b/>
                <w:bCs/>
                <w:sz w:val="18"/>
                <w:szCs w:val="18"/>
              </w:rPr>
              <w:t xml:space="preserve">modello CNF</w:t>
            </w:r>
            <w:r>
              <w:rPr>
                <w:rFonts w:ascii="Calibri" w:cs="Calibri" w:eastAsia="Calibri" w:hAnsi="Calibri"/>
                <w:b w:val="false"/>
                <w:bCs w:val="false"/>
                <w:sz w:val="18"/>
                <w:szCs w:val="18"/>
              </w:rPr>
              <w:t xml:space="preserve"> (comma 7-bis)</w:t>
            </w:r>
          </w:p>
        </w:tc>
        <w:tc>
          <w:tcPr>
            <w:tcW w:type="dxa" w:w="40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25/1/2025</w:t>
            </w:r>
          </w:p>
        </w:tc>
      </w:tr>
      <w:tr>
        <w:trPr>
          <w:cantSplit/>
        </w:trPr>
        <w:tc>
          <w:tcPr>
            <w:tcW w:type="dxa" w:w="149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2-bis</w:t>
            </w:r>
          </w:p>
        </w:tc>
        <w:tc>
          <w:tcPr>
            <w:tcW w:type="dxa" w:w="41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modalità telematica e incontri da remoto</w:t>
            </w:r>
          </w:p>
        </w:tc>
        <w:tc>
          <w:tcPr>
            <w:tcW w:type="dxa" w:w="40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dal 25/1/2025</w:t>
            </w:r>
          </w:p>
        </w:tc>
      </w:tr>
      <w:tr>
        <w:trPr>
          <w:cantSplit/>
        </w:trPr>
        <w:tc>
          <w:tcPr>
            <w:tcW w:type="dxa" w:w="149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2-ter</w:t>
            </w:r>
          </w:p>
        </w:tc>
        <w:tc>
          <w:tcPr>
            <w:tcW w:type="dxa" w:w="41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negoziazione nelle controversie di lavoro</w:t>
            </w:r>
          </w:p>
        </w:tc>
        <w:tc>
          <w:tcPr>
            <w:tcW w:type="dxa" w:w="40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dal 1/1/2023</w:t>
            </w:r>
          </w:p>
        </w:tc>
      </w:tr>
      <w:tr>
        <w:trPr>
          <w:cantSplit/>
        </w:trPr>
        <w:tc>
          <w:tcPr>
            <w:tcW w:type="dxa" w:w="149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Art. 3</w:t>
            </w:r>
          </w:p>
        </w:tc>
        <w:tc>
          <w:tcPr>
            <w:tcW w:type="dxa" w:w="41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casi di improcedibilità; eccezione entro la prima udienza; avveramento della condizione; esclusioni</w:t>
            </w:r>
          </w:p>
        </w:tc>
        <w:tc>
          <w:tcPr>
            <w:tcW w:type="dxa" w:w="40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30/6/2023 (comma 6 abrogato)</w:t>
            </w:r>
          </w:p>
        </w:tc>
      </w:tr>
      <w:tr>
        <w:trPr>
          <w:cantSplit/>
        </w:trPr>
        <w:tc>
          <w:tcPr>
            <w:tcW w:type="dxa" w:w="149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Art. 4</w:t>
            </w:r>
          </w:p>
        </w:tc>
        <w:tc>
          <w:tcPr>
            <w:tcW w:type="dxa" w:w="41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contenuto dell'invito; avvertimento su spese e artt. 96 e 642 c.p.c.; certificazione della firma; dichiarazione di mancato accordo</w:t>
            </w:r>
          </w:p>
        </w:tc>
        <w:tc>
          <w:tcPr>
            <w:tcW w:type="dxa" w:w="40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1/1/2023</w:t>
            </w:r>
          </w:p>
        </w:tc>
      </w:tr>
      <w:tr>
        <w:trPr>
          <w:cantSplit/>
        </w:trPr>
        <w:tc>
          <w:tcPr>
            <w:tcW w:type="dxa" w:w="149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4-bis, 4-ter</w:t>
            </w:r>
          </w:p>
        </w:tc>
        <w:tc>
          <w:tcPr>
            <w:tcW w:type="dxa" w:w="41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acquisizione di dichiarazioni di terzi; dichiarazioni confessorie</w:t>
            </w:r>
          </w:p>
        </w:tc>
        <w:tc>
          <w:tcPr>
            <w:tcW w:type="dxa" w:w="40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dal 1/1/2023</w:t>
            </w:r>
          </w:p>
        </w:tc>
      </w:tr>
      <w:tr>
        <w:trPr>
          <w:cantSplit/>
        </w:trPr>
        <w:tc>
          <w:tcPr>
            <w:tcW w:type="dxa" w:w="149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5</w:t>
            </w:r>
          </w:p>
        </w:tc>
        <w:tc>
          <w:tcPr>
            <w:tcW w:type="dxa" w:w="41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accordo: titolo esecutivo e per ipoteca; valore; certificazioni; trascrizione nel precetto; autentica per la trascrizione</w:t>
            </w:r>
          </w:p>
        </w:tc>
        <w:tc>
          <w:tcPr>
            <w:tcW w:type="dxa" w:w="40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1/1/2023</w:t>
            </w:r>
          </w:p>
        </w:tc>
      </w:tr>
      <w:tr>
        <w:trPr>
          <w:cantSplit/>
        </w:trPr>
        <w:tc>
          <w:tcPr>
            <w:tcW w:type="dxa" w:w="149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6</w:t>
            </w:r>
          </w:p>
        </w:tc>
        <w:tc>
          <w:tcPr>
            <w:tcW w:type="dxa" w:w="41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famiglia: nullaosta o autorizzazione del pubblico ministero; trasmissioni e sanzioni</w:t>
            </w:r>
          </w:p>
        </w:tc>
        <w:tc>
          <w:tcPr>
            <w:tcW w:type="dxa" w:w="40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25/1/2025</w:t>
            </w:r>
          </w:p>
        </w:tc>
      </w:tr>
      <w:tr>
        <w:trPr>
          <w:cantSplit/>
        </w:trPr>
        <w:tc>
          <w:tcPr>
            <w:tcW w:type="dxa" w:w="149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7</w:t>
            </w:r>
          </w:p>
        </w:tc>
        <w:tc>
          <w:tcPr>
            <w:tcW w:type="dxa" w:w="41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soppresso in sede di conversione</w:t>
            </w:r>
          </w:p>
        </w:tc>
        <w:tc>
          <w:tcPr>
            <w:tcW w:type="dxa" w:w="40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49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Art. 8</w:t>
            </w:r>
          </w:p>
        </w:tc>
        <w:tc>
          <w:tcPr>
            <w:tcW w:type="dxa" w:w="41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effetti su prescrizione e decadenza</w:t>
            </w:r>
          </w:p>
        </w:tc>
        <w:tc>
          <w:tcPr>
            <w:tcW w:type="dxa" w:w="40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13/9/2014</w:t>
            </w:r>
          </w:p>
        </w:tc>
      </w:tr>
      <w:tr>
        <w:trPr>
          <w:cantSplit/>
        </w:trPr>
        <w:tc>
          <w:tcPr>
            <w:tcW w:type="dxa" w:w="149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9</w:t>
            </w:r>
          </w:p>
        </w:tc>
        <w:tc>
          <w:tcPr>
            <w:tcW w:type="dxa" w:w="41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lealtà, riservatezza, inutilizzabilità, incompatibilità degli avvocati come arbitri</w:t>
            </w:r>
          </w:p>
        </w:tc>
        <w:tc>
          <w:tcPr>
            <w:tcW w:type="dxa" w:w="40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w:t>
            </w:r>
          </w:p>
        </w:tc>
      </w:tr>
      <w:tr>
        <w:trPr>
          <w:cantSplit/>
        </w:trPr>
        <w:tc>
          <w:tcPr>
            <w:tcW w:type="dxa" w:w="149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11</w:t>
            </w:r>
          </w:p>
        </w:tc>
        <w:tc>
          <w:tcPr>
            <w:tcW w:type="dxa" w:w="41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trasmissione dell'accordo al consiglio dell'ordine per il tramite del CNF</w:t>
            </w:r>
          </w:p>
        </w:tc>
        <w:tc>
          <w:tcPr>
            <w:tcW w:type="dxa" w:w="40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25/1/2025</w:t>
            </w:r>
          </w:p>
        </w:tc>
      </w:tr>
      <w:tr>
        <w:trPr>
          <w:cantSplit/>
        </w:trPr>
        <w:tc>
          <w:tcPr>
            <w:tcW w:type="dxa" w:w="149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12</w:t>
            </w:r>
          </w:p>
        </w:tc>
        <w:tc>
          <w:tcPr>
            <w:tcW w:type="dxa" w:w="41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separazione e divorzio davanti all'ufficiale dello stato civile</w:t>
            </w:r>
          </w:p>
        </w:tc>
        <w:tc>
          <w:tcPr>
            <w:tcW w:type="dxa" w:w="40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w:t>
            </w:r>
          </w:p>
        </w:tc>
      </w:tr>
      <w:tr>
        <w:trPr>
          <w:cantSplit/>
        </w:trPr>
        <w:tc>
          <w:tcPr>
            <w:tcW w:type="dxa" w:w="149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Artt. 11-bis - 11-undecies</w:t>
            </w:r>
          </w:p>
        </w:tc>
        <w:tc>
          <w:tcPr>
            <w:tcW w:type="dxa" w:w="41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patrocinio a spese dello Stato nella negoziazione</w:t>
            </w:r>
          </w:p>
        </w:tc>
        <w:tc>
          <w:tcPr>
            <w:tcW w:type="dxa" w:w="40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(11-bis, 11-quinquies, 11-septies dal 25/1/2025)</w:t>
            </w:r>
          </w:p>
        </w:tc>
      </w:tr>
      <w:tr>
        <w:trPr>
          <w:cantSplit/>
        </w:trPr>
        <w:tc>
          <w:tcPr>
            <w:tcW w:type="dxa" w:w="149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C.p.c., art. 82</w:t>
            </w:r>
          </w:p>
        </w:tc>
        <w:tc>
          <w:tcPr>
            <w:tcW w:type="dxa" w:w="41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parti in giudizio personalmente davanti al giudice di pace fino a 1.100 euro</w:t>
            </w:r>
          </w:p>
        </w:tc>
        <w:tc>
          <w:tcPr>
            <w:tcW w:type="dxa" w:w="40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21/2/2012 (Normattiva mostra ancora «lire un milione», ma la nota 135 riporta la sostituzione con «euro 1.100» disposta dall'art. 13, comma 1, lett. a), d.l. 212/2011)</w:t>
            </w:r>
          </w:p>
        </w:tc>
      </w:tr>
      <w:tr>
        <w:trPr>
          <w:cantSplit/>
        </w:trPr>
        <w:tc>
          <w:tcPr>
            <w:tcW w:type="dxa" w:w="149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190/2014, art. 1, comma 249</w:t>
            </w:r>
          </w:p>
        </w:tc>
        <w:tc>
          <w:tcPr>
            <w:tcW w:type="dxa" w:w="41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negoziazione assistita come condizione dell'azione nelle controversie sul contratto di trasporto o sub-trasporto</w:t>
            </w:r>
          </w:p>
        </w:tc>
        <w:tc>
          <w:tcPr>
            <w:tcW w:type="dxa" w:w="40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letto nel corpus Chiostro, da Normattiva)</w:t>
            </w:r>
          </w:p>
        </w:tc>
      </w:tr>
      <w:tr>
        <w:trPr>
          <w:cantSplit/>
        </w:trPr>
        <w:tc>
          <w:tcPr>
            <w:tcW w:type="dxa" w:w="149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C.c., art. 2113</w:t>
            </w:r>
          </w:p>
        </w:tc>
        <w:tc>
          <w:tcPr>
            <w:tcW w:type="dxa" w:w="41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rinunzie e transazioni del lavoratore; conciliazioni non impugnabili (quarto comma)</w:t>
            </w:r>
          </w:p>
        </w:tc>
        <w:tc>
          <w:tcPr>
            <w:tcW w:type="dxa" w:w="40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w:t>
            </w:r>
          </w:p>
        </w:tc>
      </w:tr>
      <w:tr>
        <w:trPr>
          <w:cantSplit/>
        </w:trPr>
        <w:tc>
          <w:tcPr>
            <w:tcW w:type="dxa" w:w="149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D.P.R. 115/2002, artt. 76, 78, 79</w:t>
            </w:r>
          </w:p>
        </w:tc>
        <w:tc>
          <w:tcPr>
            <w:tcW w:type="dxa" w:w="41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soglia di reddito (13.659,64 euro) e contenuto dell'istanza di patrocinio</w:t>
            </w:r>
          </w:p>
        </w:tc>
        <w:tc>
          <w:tcPr>
            <w:tcW w:type="dxa" w:w="40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w:t>
            </w:r>
          </w:p>
        </w:tc>
      </w:tr>
    </w:tbl>
    <w:p>
      <w:pPr>
        <w:spacing w:after="0" w:before="0" w:line="120"/>
      </w:pPr>
    </w:p>
    <w:p>
      <w:pPr>
        <w:pStyle w:val="Heading2"/>
      </w:pPr>
      <w:r>
        <w:rPr>
          <w:rFonts w:ascii="Georgia" w:cs="Georgia" w:eastAsia="Georgia" w:hAnsi="Georgia"/>
          <w:b/>
          <w:bCs/>
        </w:rPr>
        <w:t xml:space="preserve">3. Termini e scadenze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575"/>
        <w:gridCol w:w="2731"/>
        <w:gridCol w:w="2732"/>
        <w:gridCol w:w="2600"/>
      </w:tblGrid>
      <w:tr>
        <w:trPr>
          <w:cantSplit/>
          <w:tblHeader/>
        </w:trPr>
        <w:tc>
          <w:tcPr>
            <w:tcW w:type="dxa" w:w="1575"/>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Chi</w:t>
            </w:r>
          </w:p>
        </w:tc>
        <w:tc>
          <w:tcPr>
            <w:tcW w:type="dxa" w:w="2731"/>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Che cosa</w:t>
            </w:r>
          </w:p>
        </w:tc>
        <w:tc>
          <w:tcPr>
            <w:tcW w:type="dxa" w:w="2732"/>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Entro quando</w:t>
            </w:r>
          </w:p>
        </w:tc>
        <w:tc>
          <w:tcPr>
            <w:tcW w:type="dxa" w:w="260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Se si sbaglia</w:t>
            </w:r>
          </w:p>
        </w:tc>
      </w:tr>
      <w:tr>
        <w:trPr>
          <w:cantSplit/>
        </w:trPr>
        <w:tc>
          <w:tcPr>
            <w:tcW w:type="dxa" w:w="157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Invitato</w:t>
            </w:r>
          </w:p>
        </w:tc>
        <w:tc>
          <w:tcPr>
            <w:tcW w:type="dxa" w:w="273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Aderire o rifiutare</w:t>
            </w:r>
          </w:p>
        </w:tc>
        <w:tc>
          <w:tcPr>
            <w:tcW w:type="dxa" w:w="27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30 giorni dalla ricezione</w:t>
            </w:r>
            <w:r>
              <w:rPr>
                <w:rFonts w:ascii="Calibri" w:cs="Calibri" w:eastAsia="Calibri" w:hAnsi="Calibri"/>
                <w:b w:val="false"/>
                <w:bCs w:val="false"/>
                <w:sz w:val="18"/>
                <w:szCs w:val="18"/>
              </w:rPr>
              <w:t xml:space="preserve"> dell'invito (art. 4, comma 1)</w:t>
            </w:r>
          </w:p>
        </w:tc>
        <w:tc>
          <w:tcPr>
            <w:tcW w:type="dxa" w:w="26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silenzio o il rifiuto possono essere valutati dal giudice ai fini delle spese e degli artt. 96 e 642, primo comma, c.p.c.</w:t>
            </w:r>
          </w:p>
        </w:tc>
      </w:tr>
      <w:tr>
        <w:trPr>
          <w:cantSplit/>
        </w:trPr>
        <w:tc>
          <w:tcPr>
            <w:tcW w:type="dxa" w:w="157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Attore (casi obbligatori)</w:t>
            </w:r>
          </w:p>
        </w:tc>
        <w:tc>
          <w:tcPr>
            <w:tcW w:type="dxa" w:w="273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 condizione di procedibilità si considera avverata</w:t>
            </w:r>
          </w:p>
        </w:tc>
        <w:tc>
          <w:tcPr>
            <w:tcW w:type="dxa" w:w="27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se l'invito non è seguito da adesione o è rifiutato </w:t>
            </w:r>
            <w:r>
              <w:rPr>
                <w:rFonts w:ascii="Calibri" w:cs="Calibri" w:eastAsia="Calibri" w:hAnsi="Calibri"/>
                <w:b/>
                <w:bCs/>
                <w:sz w:val="18"/>
                <w:szCs w:val="18"/>
              </w:rPr>
              <w:t xml:space="preserve">entro 30 giorni</w:t>
            </w:r>
            <w:r>
              <w:rPr>
                <w:rFonts w:ascii="Calibri" w:cs="Calibri" w:eastAsia="Calibri" w:hAnsi="Calibri"/>
                <w:b w:val="false"/>
                <w:bCs w:val="false"/>
                <w:sz w:val="18"/>
                <w:szCs w:val="18"/>
              </w:rPr>
              <w:t xml:space="preserve"> dalla ricezione, oppure quando è decorso il termine della convenzione (art. 3, comma 2)</w:t>
            </w:r>
          </w:p>
        </w:tc>
        <w:tc>
          <w:tcPr>
            <w:tcW w:type="dxa" w:w="26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57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Parti</w:t>
            </w:r>
          </w:p>
        </w:tc>
        <w:tc>
          <w:tcPr>
            <w:tcW w:type="dxa" w:w="273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Durata della negoziazione</w:t>
            </w:r>
          </w:p>
        </w:tc>
        <w:tc>
          <w:tcPr>
            <w:tcW w:type="dxa" w:w="27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termine fissato nella convenzione: </w:t>
            </w:r>
            <w:r>
              <w:rPr>
                <w:rFonts w:ascii="Calibri" w:cs="Calibri" w:eastAsia="Calibri" w:hAnsi="Calibri"/>
                <w:b/>
                <w:bCs/>
                <w:sz w:val="18"/>
                <w:szCs w:val="18"/>
              </w:rPr>
              <w:t xml:space="preserve">non meno di un mese e non più di tre mesi</w:t>
            </w:r>
            <w:r>
              <w:rPr>
                <w:rFonts w:ascii="Calibri" w:cs="Calibri" w:eastAsia="Calibri" w:hAnsi="Calibri"/>
                <w:b w:val="false"/>
                <w:bCs w:val="false"/>
                <w:sz w:val="18"/>
                <w:szCs w:val="18"/>
              </w:rPr>
              <w:t xml:space="preserve">, prorogabile di </w:t>
            </w:r>
            <w:r>
              <w:rPr>
                <w:rFonts w:ascii="Calibri" w:cs="Calibri" w:eastAsia="Calibri" w:hAnsi="Calibri"/>
                <w:b/>
                <w:bCs/>
                <w:sz w:val="18"/>
                <w:szCs w:val="18"/>
              </w:rPr>
              <w:t xml:space="preserve">30 giorni</w:t>
            </w:r>
            <w:r>
              <w:rPr>
                <w:rFonts w:ascii="Calibri" w:cs="Calibri" w:eastAsia="Calibri" w:hAnsi="Calibri"/>
                <w:b w:val="false"/>
                <w:bCs w:val="false"/>
                <w:sz w:val="18"/>
                <w:szCs w:val="18"/>
              </w:rPr>
              <w:t xml:space="preserve"> su accordo (art. 2, comma 2, lett. a)</w:t>
            </w:r>
          </w:p>
        </w:tc>
        <w:tc>
          <w:tcPr>
            <w:tcW w:type="dxa" w:w="26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È contenuto necessario della convenzione (art. 2, comma 2: «deve precisare»): non omettetelo</w:t>
            </w:r>
          </w:p>
        </w:tc>
      </w:tr>
      <w:tr>
        <w:trPr>
          <w:cantSplit/>
        </w:trPr>
        <w:tc>
          <w:tcPr>
            <w:tcW w:type="dxa" w:w="157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Parte istante</w:t>
            </w:r>
          </w:p>
        </w:tc>
        <w:tc>
          <w:tcPr>
            <w:tcW w:type="dxa" w:w="273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Comunicare l'invito, se il giudice rileva che la negoziazione non è stata esperita</w:t>
            </w:r>
          </w:p>
        </w:tc>
        <w:tc>
          <w:tcPr>
            <w:tcW w:type="dxa" w:w="27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15 giorni</w:t>
            </w:r>
            <w:r>
              <w:rPr>
                <w:rFonts w:ascii="Calibri" w:cs="Calibri" w:eastAsia="Calibri" w:hAnsi="Calibri"/>
                <w:b w:val="false"/>
                <w:bCs w:val="false"/>
                <w:sz w:val="18"/>
                <w:szCs w:val="18"/>
              </w:rPr>
              <w:t xml:space="preserve"> assegnati dal giudice (art. 3, comma 1)</w:t>
            </w:r>
          </w:p>
        </w:tc>
        <w:tc>
          <w:tcPr>
            <w:tcW w:type="dxa" w:w="26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Improcedibilità</w:t>
            </w:r>
          </w:p>
        </w:tc>
      </w:tr>
      <w:tr>
        <w:trPr>
          <w:cantSplit/>
        </w:trPr>
        <w:tc>
          <w:tcPr>
            <w:tcW w:type="dxa" w:w="157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 / giudice</w:t>
            </w:r>
          </w:p>
        </w:tc>
        <w:tc>
          <w:tcPr>
            <w:tcW w:type="dxa" w:w="273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Eccepire o rilevare l'improcedibilità</w:t>
            </w:r>
          </w:p>
        </w:tc>
        <w:tc>
          <w:tcPr>
            <w:tcW w:type="dxa" w:w="27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non oltre la prima udienza</w:t>
            </w:r>
            <w:r>
              <w:rPr>
                <w:rFonts w:ascii="Calibri" w:cs="Calibri" w:eastAsia="Calibri" w:hAnsi="Calibri"/>
                <w:b w:val="false"/>
                <w:bCs w:val="false"/>
                <w:sz w:val="18"/>
                <w:szCs w:val="18"/>
              </w:rPr>
              <w:t xml:space="preserve"> (art. 3, comma 1)</w:t>
            </w:r>
          </w:p>
        </w:tc>
        <w:tc>
          <w:tcPr>
            <w:tcW w:type="dxa" w:w="26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Preclusione</w:t>
            </w:r>
          </w:p>
        </w:tc>
      </w:tr>
      <w:tr>
        <w:trPr>
          <w:cantSplit/>
        </w:trPr>
        <w:tc>
          <w:tcPr>
            <w:tcW w:type="dxa" w:w="157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Parte</w:t>
            </w:r>
          </w:p>
        </w:tc>
        <w:tc>
          <w:tcPr>
            <w:tcW w:type="dxa" w:w="273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Proporre la domanda giudiziale se c'era una decadenza in corso</w:t>
            </w:r>
          </w:p>
        </w:tc>
        <w:tc>
          <w:tcPr>
            <w:tcW w:type="dxa" w:w="27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entro il medesimo termine di decadenza</w:t>
            </w:r>
            <w:r>
              <w:rPr>
                <w:rFonts w:ascii="Calibri" w:cs="Calibri" w:eastAsia="Calibri" w:hAnsi="Calibri"/>
                <w:b w:val="false"/>
                <w:bCs w:val="false"/>
                <w:sz w:val="18"/>
                <w:szCs w:val="18"/>
              </w:rPr>
              <w:t xml:space="preserve">, decorrente dal rifiuto, dalla mancata accettazione nel termine o dalla dichiarazione di mancato accordo certificata dagli avvocati (art. 8)</w:t>
            </w:r>
          </w:p>
        </w:tc>
        <w:tc>
          <w:tcPr>
            <w:tcW w:type="dxa" w:w="26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w:t>
            </w:r>
          </w:p>
        </w:tc>
      </w:tr>
      <w:tr>
        <w:trPr>
          <w:cantSplit/>
        </w:trPr>
        <w:tc>
          <w:tcPr>
            <w:tcW w:type="dxa" w:w="157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Avvocati (famiglia, figli minori o non autosufficienti)</w:t>
            </w:r>
          </w:p>
        </w:tc>
        <w:tc>
          <w:tcPr>
            <w:tcW w:type="dxa" w:w="273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Trasmettere l'accordo al procuratore della Repubblica</w:t>
            </w:r>
          </w:p>
        </w:tc>
        <w:tc>
          <w:tcPr>
            <w:tcW w:type="dxa" w:w="27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10 giorni</w:t>
            </w:r>
            <w:r>
              <w:rPr>
                <w:rFonts w:ascii="Calibri" w:cs="Calibri" w:eastAsia="Calibri" w:hAnsi="Calibri"/>
                <w:b w:val="false"/>
                <w:bCs w:val="false"/>
                <w:sz w:val="18"/>
                <w:szCs w:val="18"/>
              </w:rPr>
              <w:t xml:space="preserve"> (art. 6, comma 2)</w:t>
            </w:r>
          </w:p>
        </w:tc>
        <w:tc>
          <w:tcPr>
            <w:tcW w:type="dxa" w:w="26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57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Avvocato (famiglia)</w:t>
            </w:r>
          </w:p>
        </w:tc>
        <w:tc>
          <w:tcPr>
            <w:tcW w:type="dxa" w:w="273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Trasmettere all'ufficiale dello stato civile copia autenticata dell'accordo con le certificazioni</w:t>
            </w:r>
          </w:p>
        </w:tc>
        <w:tc>
          <w:tcPr>
            <w:tcW w:type="dxa" w:w="27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10 giorni</w:t>
            </w:r>
            <w:r>
              <w:rPr>
                <w:rFonts w:ascii="Calibri" w:cs="Calibri" w:eastAsia="Calibri" w:hAnsi="Calibri"/>
                <w:b w:val="false"/>
                <w:bCs w:val="false"/>
                <w:sz w:val="18"/>
                <w:szCs w:val="18"/>
              </w:rPr>
              <w:t xml:space="preserve"> (art. 6, comma 3)</w:t>
            </w:r>
          </w:p>
        </w:tc>
        <w:tc>
          <w:tcPr>
            <w:tcW w:type="dxa" w:w="26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Sanzione amministrativa da 2.000 a 10.000 euro (art. 6, comma 4)</w:t>
            </w:r>
          </w:p>
        </w:tc>
      </w:tr>
      <w:tr>
        <w:trPr>
          <w:cantSplit/>
        </w:trPr>
        <w:tc>
          <w:tcPr>
            <w:tcW w:type="dxa" w:w="157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Una delle parti (lavoro)</w:t>
            </w:r>
          </w:p>
        </w:tc>
        <w:tc>
          <w:tcPr>
            <w:tcW w:type="dxa" w:w="273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Trasmettere l'accordo a uno degli organismi dell'art. 76 d.lgs. 276/2003</w:t>
            </w:r>
          </w:p>
        </w:tc>
        <w:tc>
          <w:tcPr>
            <w:tcW w:type="dxa" w:w="27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10 giorni</w:t>
            </w:r>
            <w:r>
              <w:rPr>
                <w:rFonts w:ascii="Calibri" w:cs="Calibri" w:eastAsia="Calibri" w:hAnsi="Calibri"/>
                <w:b w:val="false"/>
                <w:bCs w:val="false"/>
                <w:sz w:val="18"/>
                <w:szCs w:val="18"/>
              </w:rPr>
              <w:t xml:space="preserve"> (art. 2-ter)</w:t>
            </w:r>
          </w:p>
        </w:tc>
        <w:tc>
          <w:tcPr>
            <w:tcW w:type="dxa" w:w="26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57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Consiglio dell'ordine</w:t>
            </w:r>
          </w:p>
        </w:tc>
        <w:tc>
          <w:tcPr>
            <w:tcW w:type="dxa" w:w="273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Decidere sull'ammissione anticipata al patrocinio</w:t>
            </w:r>
          </w:p>
        </w:tc>
        <w:tc>
          <w:tcPr>
            <w:tcW w:type="dxa" w:w="27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20 giorni</w:t>
            </w:r>
            <w:r>
              <w:rPr>
                <w:rFonts w:ascii="Calibri" w:cs="Calibri" w:eastAsia="Calibri" w:hAnsi="Calibri"/>
                <w:b w:val="false"/>
                <w:bCs w:val="false"/>
                <w:sz w:val="18"/>
                <w:szCs w:val="18"/>
              </w:rPr>
              <w:t xml:space="preserve"> (art. 11-quinquies, comma 2)</w:t>
            </w:r>
          </w:p>
        </w:tc>
        <w:tc>
          <w:tcPr>
            <w:tcW w:type="dxa" w:w="26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Effetti su prescrizione e decadenza (art. 8).</w:t>
      </w:r>
      <w:r>
        <w:rPr>
          <w:rFonts w:ascii="Calibri" w:cs="Calibri" w:eastAsia="Calibri" w:hAnsi="Calibri"/>
          <w:sz w:val="21"/>
          <w:szCs w:val="21"/>
        </w:rPr>
        <w:t xml:space="preserve"> «Dal momento della comunicazione dell'invito a concludere una convenzione di negoziazione assistita ovvero della sottoscrizione della convenzione si producono sulla prescrizione gli effetti della domanda giudiziale. Dalla stessa data è impedita, per una sola volta, la decadenza».</w:t>
      </w:r>
    </w:p>
    <w:p>
      <w:pPr>
        <w:pStyle w:val="Corpo"/>
        <w:keepNext w:val="false"/>
        <w:spacing w:after="100" w:line="264"/>
        <w:jc w:val="left"/>
      </w:pPr>
      <w:r>
        <w:rPr>
          <w:rFonts w:ascii="Calibri" w:cs="Calibri" w:eastAsia="Calibri" w:hAnsi="Calibri"/>
          <w:b/>
          <w:bCs/>
          <w:sz w:val="21"/>
          <w:szCs w:val="21"/>
        </w:rPr>
        <w:t xml:space="preserve">Sospensione feriale.</w:t>
      </w:r>
      <w:r>
        <w:rPr>
          <w:rFonts w:ascii="Calibri" w:cs="Calibri" w:eastAsia="Calibri" w:hAnsi="Calibri"/>
          <w:sz w:val="21"/>
          <w:szCs w:val="21"/>
        </w:rPr>
        <w:t xml:space="preserve"> I termini dell'invito e della convenzione non sono termini processuali e la legge non li sospende: </w:t>
      </w:r>
      <w:r>
        <w:rPr>
          <w:rFonts w:ascii="Calibri" w:cs="Calibri" w:eastAsia="Calibri" w:hAnsi="Calibri"/>
          <w:b/>
          <w:bCs/>
          <w:sz w:val="21"/>
          <w:szCs w:val="21"/>
        </w:rPr>
        <w:t xml:space="preserve">contate agosto</w:t>
      </w:r>
      <w:r>
        <w:rPr>
          <w:rFonts w:ascii="Calibri" w:cs="Calibri" w:eastAsia="Calibri" w:hAnsi="Calibri"/>
          <w:sz w:val="21"/>
          <w:szCs w:val="21"/>
        </w:rPr>
        <w:t xml:space="preserve">.</w:t>
      </w:r>
    </w:p>
    <w:p>
      <w:pPr>
        <w:pStyle w:val="Corpo"/>
        <w:keepNext w:val="false"/>
        <w:spacing w:after="100" w:line="264"/>
        <w:jc w:val="left"/>
      </w:pPr>
      <w:r>
        <w:rPr>
          <w:rFonts w:ascii="Calibri" w:cs="Calibri" w:eastAsia="Calibri" w:hAnsi="Calibri"/>
          <w:b/>
          <w:bCs/>
          <w:sz w:val="21"/>
          <w:szCs w:val="21"/>
        </w:rPr>
        <w:t xml:space="preserve">Esempio 1 – Prescrizione biennale da sinistro stradale.</w:t>
      </w:r>
      <w:r>
        <w:rPr>
          <w:rFonts w:ascii="Calibri" w:cs="Calibri" w:eastAsia="Calibri" w:hAnsi="Calibri"/>
          <w:sz w:val="21"/>
          <w:szCs w:val="21"/>
        </w:rPr>
        <w:t xml:space="preserve"> Sinistro del 20 novembre 2024; il diritto al risarcimento del danno da circolazione si prescrive in due anni (art. 2947, comma 2, c.c.): </w:t>
      </w:r>
      <w:r>
        <w:rPr>
          <w:rFonts w:ascii="Calibri" w:cs="Calibri" w:eastAsia="Calibri" w:hAnsi="Calibri"/>
          <w:b/>
          <w:bCs/>
          <w:sz w:val="21"/>
          <w:szCs w:val="21"/>
        </w:rPr>
        <w:t xml:space="preserve">venerdì 20 novembre 2026</w:t>
      </w:r>
      <w:r>
        <w:rPr>
          <w:rFonts w:ascii="Calibri" w:cs="Calibri" w:eastAsia="Calibri" w:hAnsi="Calibri"/>
          <w:sz w:val="21"/>
          <w:szCs w:val="21"/>
        </w:rPr>
        <w:t xml:space="preserve">. L'invito, che produce sulla prescrizione gli effetti della domanda giudiziale «dal momento della comunicazione» (art. 8), va fatto pervenire via PEC entro quella data. Restano fermi gli adempimenti propri del Codice delle assicurazioni private, qui non trattati.</w:t>
      </w:r>
    </w:p>
    <w:p>
      <w:pPr>
        <w:pStyle w:val="Corpo"/>
        <w:keepNext w:val="false"/>
        <w:spacing w:after="100" w:line="264"/>
        <w:jc w:val="left"/>
      </w:pPr>
      <w:r>
        <w:rPr>
          <w:rFonts w:ascii="Calibri" w:cs="Calibri" w:eastAsia="Calibri" w:hAnsi="Calibri"/>
          <w:b/>
          <w:bCs/>
          <w:sz w:val="21"/>
          <w:szCs w:val="21"/>
        </w:rPr>
        <w:t xml:space="preserve">Esempio 2 – Silenzio dell'invitato.</w:t>
      </w:r>
      <w:r>
        <w:rPr>
          <w:rFonts w:ascii="Calibri" w:cs="Calibri" w:eastAsia="Calibri" w:hAnsi="Calibri"/>
          <w:sz w:val="21"/>
          <w:szCs w:val="21"/>
        </w:rPr>
        <w:t xml:space="preserve"> Invito ricevuto </w:t>
      </w:r>
      <w:r>
        <w:rPr>
          <w:rFonts w:ascii="Calibri" w:cs="Calibri" w:eastAsia="Calibri" w:hAnsi="Calibri"/>
          <w:b/>
          <w:bCs/>
          <w:sz w:val="21"/>
          <w:szCs w:val="21"/>
        </w:rPr>
        <w:t xml:space="preserve">lunedì 9 novembre 2026</w:t>
      </w:r>
      <w:r>
        <w:rPr>
          <w:rFonts w:ascii="Calibri" w:cs="Calibri" w:eastAsia="Calibri" w:hAnsi="Calibri"/>
          <w:sz w:val="21"/>
          <w:szCs w:val="21"/>
        </w:rPr>
        <w:t xml:space="preserve">. Se entro </w:t>
      </w:r>
      <w:r>
        <w:rPr>
          <w:rFonts w:ascii="Calibri" w:cs="Calibri" w:eastAsia="Calibri" w:hAnsi="Calibri"/>
          <w:b/>
          <w:bCs/>
          <w:sz w:val="21"/>
          <w:szCs w:val="21"/>
        </w:rPr>
        <w:t xml:space="preserve">mercoledì 9 dicembre 2026</w:t>
      </w:r>
      <w:r>
        <w:rPr>
          <w:rFonts w:ascii="Calibri" w:cs="Calibri" w:eastAsia="Calibri" w:hAnsi="Calibri"/>
          <w:sz w:val="21"/>
          <w:szCs w:val="21"/>
        </w:rPr>
        <w:t xml:space="preserve"> non arriva l'adesione, la condizione di procedibilità è avverata (art. 3, comma 2) e si può agire.</w:t>
      </w:r>
    </w:p>
    <w:p>
      <w:pPr>
        <w:pStyle w:val="Corpo"/>
        <w:keepNext w:val="false"/>
        <w:spacing w:after="100" w:line="264"/>
        <w:jc w:val="left"/>
      </w:pPr>
      <w:r>
        <w:rPr>
          <w:rFonts w:ascii="Calibri" w:cs="Calibri" w:eastAsia="Calibri" w:hAnsi="Calibri"/>
          <w:b/>
          <w:bCs/>
          <w:sz w:val="21"/>
          <w:szCs w:val="21"/>
        </w:rPr>
        <w:t xml:space="preserve">Esempio 3 – Durata della convenzione.</w:t>
      </w:r>
      <w:r>
        <w:rPr>
          <w:rFonts w:ascii="Calibri" w:cs="Calibri" w:eastAsia="Calibri" w:hAnsi="Calibri"/>
          <w:sz w:val="21"/>
          <w:szCs w:val="21"/>
        </w:rPr>
        <w:t xml:space="preserve"> Convenzione firmata </w:t>
      </w:r>
      <w:r>
        <w:rPr>
          <w:rFonts w:ascii="Calibri" w:cs="Calibri" w:eastAsia="Calibri" w:hAnsi="Calibri"/>
          <w:b/>
          <w:bCs/>
          <w:sz w:val="21"/>
          <w:szCs w:val="21"/>
        </w:rPr>
        <w:t xml:space="preserve">venerdì 4 dicembre 2026</w:t>
      </w:r>
      <w:r>
        <w:rPr>
          <w:rFonts w:ascii="Calibri" w:cs="Calibri" w:eastAsia="Calibri" w:hAnsi="Calibri"/>
          <w:sz w:val="21"/>
          <w:szCs w:val="21"/>
        </w:rPr>
        <w:t xml:space="preserve">: termine minimo un mese (4 gennaio 2027), massimo tre mesi (</w:t>
      </w:r>
      <w:r>
        <w:rPr>
          <w:rFonts w:ascii="Calibri" w:cs="Calibri" w:eastAsia="Calibri" w:hAnsi="Calibri"/>
          <w:b/>
          <w:bCs/>
          <w:sz w:val="21"/>
          <w:szCs w:val="21"/>
        </w:rPr>
        <w:t xml:space="preserve">giovedì 4 marzo 2027</w:t>
      </w:r>
      <w:r>
        <w:rPr>
          <w:rFonts w:ascii="Calibri" w:cs="Calibri" w:eastAsia="Calibri" w:hAnsi="Calibri"/>
          <w:sz w:val="21"/>
          <w:szCs w:val="21"/>
        </w:rPr>
        <w:t xml:space="preserve">); con la proroga di trenta giorni, fino a </w:t>
      </w:r>
      <w:r>
        <w:rPr>
          <w:rFonts w:ascii="Calibri" w:cs="Calibri" w:eastAsia="Calibri" w:hAnsi="Calibri"/>
          <w:b/>
          <w:bCs/>
          <w:sz w:val="21"/>
          <w:szCs w:val="21"/>
        </w:rPr>
        <w:t xml:space="preserve">sabato 3 aprile 2027</w:t>
      </w:r>
      <w:r>
        <w:rPr>
          <w:rFonts w:ascii="Calibri" w:cs="Calibri" w:eastAsia="Calibri" w:hAnsi="Calibri"/>
          <w:sz w:val="21"/>
          <w:szCs w:val="21"/>
        </w:rPr>
        <w:t xml:space="preserve">.</w:t>
      </w:r>
    </w:p>
    <w:p>
      <w:pPr>
        <w:pStyle w:val="Heading2"/>
      </w:pPr>
      <w:r>
        <w:rPr>
          <w:rFonts w:ascii="Georgia" w:cs="Georgia" w:eastAsia="Georgia" w:hAnsi="Georgia"/>
          <w:b/>
          <w:bCs/>
        </w:rPr>
        <w:t xml:space="preserve">4. Costi</w:t>
      </w:r>
    </w:p>
    <w:p>
      <w:pPr>
        <w:pStyle w:val="Corpo"/>
        <w:numPr>
          <w:ilvl w:val="0"/>
          <w:numId w:val="4"/>
        </w:numPr>
        <w:spacing w:after="60" w:line="264"/>
        <w:jc w:val="left"/>
      </w:pPr>
      <w:r>
        <w:rPr>
          <w:rFonts w:ascii="Calibri" w:cs="Calibri" w:eastAsia="Calibri" w:hAnsi="Calibri"/>
          <w:b/>
          <w:bCs/>
          <w:sz w:val="21"/>
          <w:szCs w:val="21"/>
        </w:rPr>
        <w:t xml:space="preserve">Nessuna indennità a organismi</w:t>
      </w:r>
      <w:r>
        <w:rPr>
          <w:rFonts w:ascii="Calibri" w:cs="Calibri" w:eastAsia="Calibri" w:hAnsi="Calibri"/>
          <w:sz w:val="21"/>
          <w:szCs w:val="21"/>
        </w:rPr>
        <w:t xml:space="preserve">: la negoziazione si svolge tra avvocati. Il costo è il compenso dei difensori.</w:t>
      </w:r>
    </w:p>
    <w:p>
      <w:pPr>
        <w:pStyle w:val="Corpo"/>
        <w:numPr>
          <w:ilvl w:val="0"/>
          <w:numId w:val="4"/>
        </w:numPr>
        <w:spacing w:after="60" w:line="264"/>
        <w:jc w:val="left"/>
      </w:pPr>
      <w:r>
        <w:rPr>
          <w:rFonts w:ascii="Calibri" w:cs="Calibri" w:eastAsia="Calibri" w:hAnsi="Calibri"/>
          <w:b/>
          <w:bCs/>
          <w:sz w:val="21"/>
          <w:szCs w:val="21"/>
        </w:rPr>
        <w:t xml:space="preserve">Accordo</w:t>
      </w:r>
      <w:r>
        <w:rPr>
          <w:rFonts w:ascii="Calibri" w:cs="Calibri" w:eastAsia="Calibri" w:hAnsi="Calibri"/>
          <w:sz w:val="21"/>
          <w:szCs w:val="21"/>
        </w:rPr>
        <w:t xml:space="preserve">: titolo esecutivo e per l'iscrizione di ipoteca giudiziale (art. 5, comma 1); se contiene atti soggetti a trascrizione, serve l'autentica di un pubblico ufficiale (art. 5, comma 3), con i relativi costi.</w:t>
      </w:r>
    </w:p>
    <w:p>
      <w:pPr>
        <w:pStyle w:val="Corpo"/>
        <w:numPr>
          <w:ilvl w:val="0"/>
          <w:numId w:val="4"/>
        </w:numPr>
        <w:spacing w:after="60" w:line="264"/>
        <w:jc w:val="left"/>
      </w:pPr>
      <w:r>
        <w:rPr>
          <w:rFonts w:ascii="Calibri" w:cs="Calibri" w:eastAsia="Calibri" w:hAnsi="Calibri"/>
          <w:b/>
          <w:bCs/>
          <w:sz w:val="21"/>
          <w:szCs w:val="21"/>
        </w:rPr>
        <w:t xml:space="preserve">Patrocinio a spese dello Stato</w:t>
      </w:r>
      <w:r>
        <w:rPr>
          <w:rFonts w:ascii="Calibri" w:cs="Calibri" w:eastAsia="Calibri" w:hAnsi="Calibri"/>
          <w:sz w:val="21"/>
          <w:szCs w:val="21"/>
        </w:rPr>
        <w:t xml:space="preserve"> (artt. 11-bis ss.):</w:t>
      </w:r>
    </w:p>
    <w:p>
      <w:pPr>
        <w:pStyle w:val="Corpo"/>
        <w:numPr>
          <w:ilvl w:val="1"/>
          <w:numId w:val="4"/>
        </w:numPr>
        <w:spacing w:after="60" w:line="264"/>
        <w:jc w:val="left"/>
      </w:pPr>
      <w:r>
        <w:rPr>
          <w:rFonts w:ascii="Calibri" w:cs="Calibri" w:eastAsia="Calibri" w:hAnsi="Calibri"/>
          <w:sz w:val="21"/>
          <w:szCs w:val="21"/>
        </w:rPr>
        <w:t xml:space="preserve">per il cittadino italiano non abbiente, lo straniero regolarmente soggiornante al sorgere del rapporto o del fatto, l'apolide e gli enti senza scopo di lucro che non esercitano attività economica;</w:t>
      </w:r>
    </w:p>
    <w:p>
      <w:pPr>
        <w:pStyle w:val="Corpo"/>
        <w:numPr>
          <w:ilvl w:val="1"/>
          <w:numId w:val="4"/>
        </w:numPr>
        <w:spacing w:after="60" w:line="264"/>
        <w:jc w:val="left"/>
      </w:pPr>
      <w:r>
        <w:rPr>
          <w:rFonts w:ascii="Calibri" w:cs="Calibri" w:eastAsia="Calibri" w:hAnsi="Calibri"/>
          <w:b/>
          <w:bCs/>
          <w:sz w:val="21"/>
          <w:szCs w:val="21"/>
        </w:rPr>
        <w:t xml:space="preserve">solo nei casi obbligatori dell'art. 3, comma 1, e «se è raggiunto l'accordo»</w:t>
      </w:r>
      <w:r>
        <w:rPr>
          <w:rFonts w:ascii="Calibri" w:cs="Calibri" w:eastAsia="Calibri" w:hAnsi="Calibri"/>
          <w:sz w:val="21"/>
          <w:szCs w:val="21"/>
        </w:rPr>
        <w:t xml:space="preserve">, e nel «caso previsto dall'articolo 1, comma 249, della legge 23 dicembre 2014, n. 190» (art. 11-bis, comma 1), cioè la negoziazione obbligatoria sui contratti di trasporto e sub-trasporto (§ 1);</w:t>
      </w:r>
    </w:p>
    <w:p>
      <w:pPr>
        <w:pStyle w:val="Corpo"/>
        <w:numPr>
          <w:ilvl w:val="1"/>
          <w:numId w:val="4"/>
        </w:numPr>
        <w:spacing w:after="60" w:line="264"/>
        <w:jc w:val="left"/>
      </w:pPr>
      <w:r>
        <w:rPr>
          <w:rFonts w:ascii="Calibri" w:cs="Calibri" w:eastAsia="Calibri" w:hAnsi="Calibri"/>
          <w:sz w:val="21"/>
          <w:szCs w:val="21"/>
        </w:rPr>
        <w:t xml:space="preserve">reddito imponibile non superiore alla soglia degli artt. 76 e 77 d.P.R. 115/2002 (art. 11-ter): </w:t>
      </w:r>
      <w:r>
        <w:rPr>
          <w:rFonts w:ascii="Calibri" w:cs="Calibri" w:eastAsia="Calibri" w:hAnsi="Calibri"/>
          <w:b/>
          <w:bCs/>
          <w:sz w:val="21"/>
          <w:szCs w:val="21"/>
        </w:rPr>
        <w:t xml:space="preserve">13.659,64 euro</w:t>
      </w:r>
      <w:r>
        <w:rPr>
          <w:rFonts w:ascii="Calibri" w:cs="Calibri" w:eastAsia="Calibri" w:hAnsi="Calibri"/>
          <w:sz w:val="21"/>
          <w:szCs w:val="21"/>
        </w:rPr>
        <w:t xml:space="preserve">;</w:t>
      </w:r>
    </w:p>
    <w:p>
      <w:pPr>
        <w:pStyle w:val="Corpo"/>
        <w:numPr>
          <w:ilvl w:val="1"/>
          <w:numId w:val="4"/>
        </w:numPr>
        <w:spacing w:after="60" w:line="264"/>
        <w:jc w:val="left"/>
      </w:pPr>
      <w:r>
        <w:rPr>
          <w:rFonts w:ascii="Calibri" w:cs="Calibri" w:eastAsia="Calibri" w:hAnsi="Calibri"/>
          <w:sz w:val="21"/>
          <w:szCs w:val="21"/>
        </w:rPr>
        <w:t xml:space="preserve">istanza, a pena di inammissibilità, conforme agli artt. 78, comma 2, e 79, comma 1, lett. b), c) e d), d.P.R. 115/2002, con le ragioni di non manifesta infondatezza (art. 11-quater), al </w:t>
      </w:r>
      <w:r>
        <w:rPr>
          <w:rFonts w:ascii="Calibri" w:cs="Calibri" w:eastAsia="Calibri" w:hAnsi="Calibri"/>
          <w:b/>
          <w:bCs/>
          <w:sz w:val="21"/>
          <w:szCs w:val="21"/>
        </w:rPr>
        <w:t xml:space="preserve">consiglio dell'ordine del luogo del tribunale che sarebbe competente</w:t>
      </w:r>
      <w:r>
        <w:rPr>
          <w:rFonts w:ascii="Calibri" w:cs="Calibri" w:eastAsia="Calibri" w:hAnsi="Calibri"/>
          <w:sz w:val="21"/>
          <w:szCs w:val="21"/>
        </w:rPr>
        <w:t xml:space="preserve"> (art. 11-quinquies, comma 1); decisione entro 20 giorni;</w:t>
      </w:r>
    </w:p>
    <w:p>
      <w:pPr>
        <w:pStyle w:val="Corpo"/>
        <w:numPr>
          <w:ilvl w:val="1"/>
          <w:numId w:val="4"/>
        </w:numPr>
        <w:spacing w:after="60" w:line="264"/>
        <w:jc w:val="left"/>
      </w:pPr>
      <w:r>
        <w:rPr>
          <w:rFonts w:ascii="Calibri" w:cs="Calibri" w:eastAsia="Calibri" w:hAnsi="Calibri"/>
          <w:sz w:val="21"/>
          <w:szCs w:val="21"/>
        </w:rPr>
        <w:t xml:space="preserve">raggiunto l'accordo, conferma con visto di congruità sulla parcella in base al valore indicato nell'accordo (art. 11-septies); l'avvocato non può chiedere altro al cliente, a pena di nullità del patto (comma 4).</w:t>
      </w:r>
    </w:p>
    <w:p>
      <w:pPr>
        <w:pStyle w:val="Corpo"/>
        <w:numPr>
          <w:ilvl w:val="0"/>
          <w:numId w:val="4"/>
        </w:numPr>
        <w:spacing w:after="60" w:line="264"/>
        <w:jc w:val="left"/>
      </w:pPr>
      <w:r>
        <w:rPr>
          <w:rFonts w:ascii="Calibri" w:cs="Calibri" w:eastAsia="Calibri" w:hAnsi="Calibri"/>
          <w:b/>
          <w:bCs/>
          <w:sz w:val="21"/>
          <w:szCs w:val="21"/>
        </w:rPr>
        <w:t xml:space="preserve">Esclusa</w:t>
      </w:r>
      <w:r>
        <w:rPr>
          <w:rFonts w:ascii="Calibri" w:cs="Calibri" w:eastAsia="Calibri" w:hAnsi="Calibri"/>
          <w:sz w:val="21"/>
          <w:szCs w:val="21"/>
        </w:rPr>
        <w:t xml:space="preserve"> l'ammissione per le controversie per cessione di crediti e ragioni altrui, salvo cessione in pagamento di crediti preesistenti (art. 11-bis, comma 2).</w:t>
      </w:r>
    </w:p>
    <w:p>
      <w:pPr>
        <w:pStyle w:val="Heading2"/>
      </w:pPr>
      <w:r>
        <w:rPr>
          <w:rFonts w:ascii="Georgia" w:cs="Georgia" w:eastAsia="Georgia" w:hAnsi="Georgia"/>
          <w:b/>
          <w:bCs/>
        </w:rPr>
        <w:t xml:space="preserve">5. Lista di controllo prima dell'invio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Obbligatoria o facoltativa?</w:t>
      </w:r>
      <w:r>
        <w:rPr>
          <w:rFonts w:ascii="Calibri" w:cs="Calibri" w:eastAsia="Calibri" w:hAnsi="Calibri"/>
          <w:sz w:val="21"/>
          <w:szCs w:val="21"/>
        </w:rPr>
        <w:t xml:space="preserve"> Circolazione di veicoli o natanti; somma fino a 50.000 euro; non consumatore; non materia di mediazione obbligatoria; non procedimento escluso; non causa in cui la parte può stare da sola. </w:t>
      </w:r>
      <w:r>
        <w:rPr>
          <w:rFonts w:ascii="Calibri" w:cs="Calibri" w:eastAsia="Calibri" w:hAnsi="Calibri"/>
          <w:b/>
          <w:bCs/>
          <w:sz w:val="21"/>
          <w:szCs w:val="21"/>
        </w:rPr>
        <w:t xml:space="preserve">Contratto di trasporto o sub-trasporto: obbligatoria a qualunque valore</w:t>
      </w:r>
      <w:r>
        <w:rPr>
          <w:rFonts w:ascii="Calibri" w:cs="Calibri" w:eastAsia="Calibri" w:hAnsi="Calibri"/>
          <w:sz w:val="21"/>
          <w:szCs w:val="21"/>
        </w:rPr>
        <w:t xml:space="preserve"> (art. 1, comma 249, l. 190/2014).</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Oggetto della controversia</w:t>
      </w:r>
      <w:r>
        <w:rPr>
          <w:rFonts w:ascii="Calibri" w:cs="Calibri" w:eastAsia="Calibri" w:hAnsi="Calibri"/>
          <w:sz w:val="21"/>
          <w:szCs w:val="21"/>
        </w:rPr>
        <w:t xml:space="preserve"> descritto in modo completo: la condizione di procedibilità si misura su di esso.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Prescrizioni e decadenze</w:t>
      </w:r>
      <w:r>
        <w:rPr>
          <w:rFonts w:ascii="Calibri" w:cs="Calibri" w:eastAsia="Calibri" w:hAnsi="Calibri"/>
          <w:sz w:val="21"/>
          <w:szCs w:val="21"/>
        </w:rPr>
        <w:t xml:space="preserve">: calcolate; invito spedito con prova della ricezione.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Firma dell'invito</w:t>
      </w:r>
      <w:r>
        <w:rPr>
          <w:rFonts w:ascii="Calibri" w:cs="Calibri" w:eastAsia="Calibri" w:hAnsi="Calibri"/>
          <w:sz w:val="21"/>
          <w:szCs w:val="21"/>
        </w:rPr>
        <w:t xml:space="preserve">: dalla parte, con certificazione dell'autografia da parte dell'avvocato che lo formula (art. 4, comma 2).</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Avvertimento</w:t>
      </w:r>
      <w:r>
        <w:rPr>
          <w:rFonts w:ascii="Calibri" w:cs="Calibri" w:eastAsia="Calibri" w:hAnsi="Calibri"/>
          <w:sz w:val="21"/>
          <w:szCs w:val="21"/>
        </w:rPr>
        <w:t xml:space="preserve"> obbligatorio dell'art. 4, comma 1 (testo del modello).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Modello CNF</w:t>
      </w:r>
      <w:r>
        <w:rPr>
          <w:rFonts w:ascii="Calibri" w:cs="Calibri" w:eastAsia="Calibri" w:hAnsi="Calibri"/>
          <w:sz w:val="21"/>
          <w:szCs w:val="21"/>
        </w:rPr>
        <w:t xml:space="preserve">: la convenzione si conclude «salvo diverso accordo» con il modello elaborato dal Consiglio nazionale forense (art. 2, comma 7-bis). Se usate il testo di questo formulario, prevedete nella convenzione l'accordo delle parti a utilizzarlo.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Clausole facoltative</w:t>
      </w:r>
      <w:r>
        <w:rPr>
          <w:rFonts w:ascii="Calibri" w:cs="Calibri" w:eastAsia="Calibri" w:hAnsi="Calibri"/>
          <w:sz w:val="21"/>
          <w:szCs w:val="21"/>
        </w:rPr>
        <w:t xml:space="preserve"> (art. 2, comma 2-bis): dichiarazioni di terzi, dichiarazioni confessorie, modalità telematica, incontri da remoto. Se non sono previste nella convenzione, non si possono usare.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Informativa al cliente</w:t>
      </w:r>
      <w:r>
        <w:rPr>
          <w:rFonts w:ascii="Calibri" w:cs="Calibri" w:eastAsia="Calibri" w:hAnsi="Calibri"/>
          <w:sz w:val="21"/>
          <w:szCs w:val="21"/>
        </w:rPr>
        <w:t xml:space="preserve"> sulla possibilità di ricorrere alla negoziazione, all'atto dell'incarico: è un dovere deontologico (art. 2, comma 7).</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Patrocinio</w:t>
      </w:r>
      <w:r>
        <w:rPr>
          <w:rFonts w:ascii="Calibri" w:cs="Calibri" w:eastAsia="Calibri" w:hAnsi="Calibri"/>
          <w:sz w:val="21"/>
          <w:szCs w:val="21"/>
        </w:rPr>
        <w:t xml:space="preserve">: se il cliente è sotto soglia, istanza al consiglio dell'ordine prima di iniziare.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Lavoro</w:t>
      </w:r>
      <w:r>
        <w:rPr>
          <w:rFonts w:ascii="Calibri" w:cs="Calibri" w:eastAsia="Calibri" w:hAnsi="Calibri"/>
          <w:sz w:val="21"/>
          <w:szCs w:val="21"/>
        </w:rPr>
        <w:t xml:space="preserve">: ogni parte con il suo avvocato; consulente del lavoro facoltativo; trasmissione dell'accordo entro 10 giorni.</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Famiglia</w:t>
      </w:r>
      <w:r>
        <w:rPr>
          <w:rFonts w:ascii="Calibri" w:cs="Calibri" w:eastAsia="Calibri" w:hAnsi="Calibri"/>
          <w:sz w:val="21"/>
          <w:szCs w:val="21"/>
        </w:rPr>
        <w:t xml:space="preserve">: figli minori, maggiorenni incapaci, con handicap grave o non autosufficienti? Cambia il percorso presso la Procura (art. 6, comma 2).</w:t>
      </w:r>
    </w:p>
    <w:p>
      <w:pPr>
        <w:pStyle w:val="Heading2"/>
      </w:pPr>
      <w:r>
        <w:rPr>
          <w:rFonts w:ascii="Georgia" w:cs="Georgia" w:eastAsia="Georgia" w:hAnsi="Georgia"/>
          <w:b/>
          <w:bCs/>
        </w:rPr>
        <w:t xml:space="preserve">6. I modelli</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sz w:val="20"/>
                <w:szCs w:val="20"/>
              </w:rPr>
              <w:t xml:space="preserve">Campi da compilare tra </w:t>
            </w:r>
            <w:r>
              <w:rPr>
                <w:rFonts w:ascii="Calibri" w:cs="Calibri" w:eastAsia="Calibri" w:hAnsi="Calibri"/>
                <w:b/>
                <w:bCs/>
                <w:sz w:val="20"/>
                <w:szCs w:val="20"/>
              </w:rPr>
              <w:t xml:space="preserve">[parentesi quadre]</w:t>
            </w:r>
            <w:r>
              <w:rPr>
                <w:rFonts w:ascii="Calibri" w:cs="Calibri" w:eastAsia="Calibri" w:hAnsi="Calibri"/>
                <w:sz w:val="20"/>
                <w:szCs w:val="20"/>
              </w:rPr>
              <w:t xml:space="preserve">; varianti alternative tra </w:t>
            </w:r>
            <w:r>
              <w:rPr>
                <w:rFonts w:ascii="Calibri" w:cs="Calibri" w:eastAsia="Calibri" w:hAnsi="Calibri"/>
                <w:b/>
                <w:bCs/>
                <w:sz w:val="20"/>
                <w:szCs w:val="20"/>
              </w:rPr>
              <w:t xml:space="preserve">⟦ ⟧</w:t>
            </w:r>
            <w:r>
              <w:rPr>
                <w:rFonts w:ascii="Calibri" w:cs="Calibri" w:eastAsia="Calibri" w:hAnsi="Calibri"/>
                <w:sz w:val="20"/>
                <w:szCs w:val="20"/>
              </w:rPr>
              <w:t xml:space="preserve">.</w:t>
            </w:r>
          </w:p>
        </w:tc>
      </w:tr>
    </w:tbl>
    <w:p>
      <w:pPr>
        <w:spacing w:after="0" w:before="0" w:line="120"/>
      </w:pPr>
    </w:p>
    <w:p>
      <w:pPr>
        <w:pStyle w:val="Heading3"/>
      </w:pPr>
      <w:r>
        <w:rPr>
          <w:rFonts w:ascii="Calibri" w:cs="Calibri" w:eastAsia="Calibri" w:hAnsi="Calibri"/>
          <w:b/>
          <w:bCs/>
        </w:rPr>
        <w:t xml:space="preserve">Modello A — Invito a stipulare una convenzione di negoziazione assistita (art. 4)</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1">
        <w:r>
          <w:rPr>
            <w:rFonts w:ascii="Calibri" w:cs="Calibri" w:eastAsia="Calibri" w:hAnsi="Calibri"/>
            <w:b/>
            <w:bCs/>
            <w:color w:val="2F6A4A"/>
            <w:sz w:val="20"/>
            <w:szCs w:val="20"/>
            <w:u w:val="single" w:color="2F6A4A"/>
          </w:rPr>
          <w:t xml:space="preserve">«Modello A — Invito a stipulare una convenzione di negoziazione assistita (art. 4)»</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Modello B — Convenzione di negoziazione assistita da avvocati (art. 2)</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2">
        <w:r>
          <w:rPr>
            <w:rFonts w:ascii="Calibri" w:cs="Calibri" w:eastAsia="Calibri" w:hAnsi="Calibri"/>
            <w:b/>
            <w:bCs/>
            <w:color w:val="2F6A4A"/>
            <w:sz w:val="20"/>
            <w:szCs w:val="20"/>
            <w:u w:val="single" w:color="2F6A4A"/>
          </w:rPr>
          <w:t xml:space="preserve">«Modello B — Convenzione di negoziazione assistita da avvocati (art. 2)»</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Modello C — Dichiarazione di mancato accordo (art. 4, comma 3)</w:t>
      </w:r>
    </w:p>
    <w:p>
      <w:pPr>
        <w:pStyle w:val="Corpo"/>
        <w:keepNext w:val="false"/>
        <w:spacing w:after="100" w:line="264"/>
        <w:jc w:val="left"/>
      </w:pPr>
      <w:r>
        <w:rPr>
          <w:rFonts w:ascii="Calibri" w:cs="Calibri" w:eastAsia="Calibri" w:hAnsi="Calibri"/>
          <w:sz w:val="21"/>
          <w:szCs w:val="21"/>
        </w:rPr>
        <w:t xml:space="preserve">Due situazioni diverse, due atti diversi. Se la convenzione è stata firmata e la negoziazione si chiude senza accordo, la dichiarazione è </w:t>
      </w:r>
      <w:r>
        <w:rPr>
          <w:rFonts w:ascii="Calibri" w:cs="Calibri" w:eastAsia="Calibri" w:hAnsi="Calibri"/>
          <w:b/>
          <w:bCs/>
          <w:sz w:val="21"/>
          <w:szCs w:val="21"/>
        </w:rPr>
        <w:t xml:space="preserve">certificata dagli avvocati designati</w:t>
      </w:r>
      <w:r>
        <w:rPr>
          <w:rFonts w:ascii="Calibri" w:cs="Calibri" w:eastAsia="Calibri" w:hAnsi="Calibri"/>
          <w:sz w:val="21"/>
          <w:szCs w:val="21"/>
        </w:rPr>
        <w:t xml:space="preserve"> (art. 4, comma 3): Modello C1. Se l'invito è rimasto senza risposta o è stato rifiutato, una convenzione non c'è e non ci sono «avvocati designati» dall'altra parte: la condizione si avvera per legge (art. 3, comma 2) e in giudizio si producono l'invito, la prova della ricezione ed, eventualmente, il rifiuto; l'attestazione del Modello C2 è un atto riepilogativo dell'avvocato che ha formulato l'invito, utile ma non previsto dalla legge.</w:t>
      </w:r>
    </w:p>
    <w:p>
      <w:pPr>
        <w:pStyle w:val="Corpo"/>
        <w:keepNext/>
        <w:spacing w:after="100" w:before="100" w:line="264"/>
        <w:jc w:val="left"/>
      </w:pPr>
      <w:r>
        <w:rPr>
          <w:rFonts w:ascii="Calibri" w:cs="Calibri" w:eastAsia="Calibri" w:hAnsi="Calibri"/>
          <w:b/>
          <w:bCs/>
          <w:sz w:val="21"/>
          <w:szCs w:val="21"/>
        </w:rPr>
        <w:t xml:space="preserve">C1 — dopo la convenzione</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3">
        <w:r>
          <w:rPr>
            <w:rFonts w:ascii="Calibri" w:cs="Calibri" w:eastAsia="Calibri" w:hAnsi="Calibri"/>
            <w:b/>
            <w:bCs/>
            <w:color w:val="2F6A4A"/>
            <w:sz w:val="20"/>
            <w:szCs w:val="20"/>
            <w:u w:val="single" w:color="2F6A4A"/>
          </w:rPr>
          <w:t xml:space="preserve">«Modello C — Dichiarazione di mancato accordo (art. 4, comma 3) · C1 — dopo la convenzione»</w:t>
        </w:r>
      </w:hyperlink>
      <w:r>
        <w:rPr>
          <w:rFonts w:ascii="Calibri" w:cs="Calibri" w:eastAsia="Calibri" w:hAnsi="Calibri"/>
          <w:i/>
          <w:iCs/>
          <w:color w:val="4F5654"/>
          <w:sz w:val="20"/>
          <w:szCs w:val="20"/>
        </w:rPr>
        <w:t xml:space="preserve">.</w:t>
      </w:r>
    </w:p>
    <w:p>
      <w:pPr>
        <w:pStyle w:val="Corpo"/>
        <w:keepNext w:val="false"/>
        <w:spacing w:after="100" w:line="264"/>
        <w:jc w:val="left"/>
      </w:pPr>
      <w:r>
        <w:rPr>
          <w:rFonts w:ascii="Calibri" w:cs="Calibri" w:eastAsia="Calibri" w:hAnsi="Calibri"/>
          <w:b/>
          <w:bCs/>
          <w:sz w:val="21"/>
          <w:szCs w:val="21"/>
        </w:rPr>
        <w:t xml:space="preserve">C2 — invito senza adesione o rifiutato</w:t>
      </w:r>
      <w:r>
        <w:rPr>
          <w:rFonts w:ascii="Calibri" w:cs="Calibri" w:eastAsia="Calibri" w:hAnsi="Calibri"/>
          <w:sz w:val="21"/>
          <w:szCs w:val="21"/>
        </w:rPr>
        <w:t xml:space="preserve"> (da allegare all'atto introduttivo con l'invito e le ricevute)</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4">
        <w:r>
          <w:rPr>
            <w:rFonts w:ascii="Calibri" w:cs="Calibri" w:eastAsia="Calibri" w:hAnsi="Calibri"/>
            <w:b/>
            <w:bCs/>
            <w:color w:val="2F6A4A"/>
            <w:sz w:val="20"/>
            <w:szCs w:val="20"/>
            <w:u w:val="single" w:color="2F6A4A"/>
          </w:rPr>
          <w:t xml:space="preserve">«Modello C — Dichiarazione di mancato accordo (art. 4, comma 3) · C2 — invito senza adesione o rifiutato»</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Modello D — Risposta all'invito (adesione o rifiuto motivato)</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5">
        <w:r>
          <w:rPr>
            <w:rFonts w:ascii="Calibri" w:cs="Calibri" w:eastAsia="Calibri" w:hAnsi="Calibri"/>
            <w:b/>
            <w:bCs/>
            <w:color w:val="2F6A4A"/>
            <w:sz w:val="20"/>
            <w:szCs w:val="20"/>
            <w:u w:val="single" w:color="2F6A4A"/>
          </w:rPr>
          <w:t xml:space="preserve">«Modello D — Risposta all'invito (adesione o rifiuto motivato)»</w:t>
        </w:r>
      </w:hyperlink>
      <w:r>
        <w:rPr>
          <w:rFonts w:ascii="Calibri" w:cs="Calibri" w:eastAsia="Calibri" w:hAnsi="Calibri"/>
          <w:i/>
          <w:iCs/>
          <w:color w:val="4F5654"/>
          <w:sz w:val="20"/>
          <w:szCs w:val="20"/>
        </w:rPr>
        <w:t xml:space="preserve">.</w:t>
      </w:r>
    </w:p>
    <w:p>
      <w:pPr>
        <w:pStyle w:val="Corpo"/>
        <w:keepNext w:val="false"/>
        <w:spacing w:after="100" w:line="264"/>
        <w:jc w:val="left"/>
      </w:pPr>
      <w:r>
        <w:rPr>
          <w:rFonts w:ascii="Calibri" w:cs="Calibri" w:eastAsia="Calibri" w:hAnsi="Calibri"/>
          <w:sz w:val="21"/>
          <w:szCs w:val="21"/>
        </w:rPr>
        <w:t xml:space="preserve">Un rifiuto </w:t>
      </w:r>
      <w:r>
        <w:rPr>
          <w:rFonts w:ascii="Calibri" w:cs="Calibri" w:eastAsia="Calibri" w:hAnsi="Calibri"/>
          <w:b/>
          <w:bCs/>
          <w:sz w:val="21"/>
          <w:szCs w:val="21"/>
        </w:rPr>
        <w:t xml:space="preserve">motivato</w:t>
      </w:r>
      <w:r>
        <w:rPr>
          <w:rFonts w:ascii="Calibri" w:cs="Calibri" w:eastAsia="Calibri" w:hAnsi="Calibri"/>
          <w:sz w:val="21"/>
          <w:szCs w:val="21"/>
        </w:rPr>
        <w:t xml:space="preserve"> è utile: il giudice può valutare il rifiuto ai fini delle spese (art. 4, comma 1), e una ragione solida lo neutralizza.</w:t>
      </w:r>
    </w:p>
    <w:p>
      <w:pPr>
        <w:pStyle w:val="Heading3"/>
      </w:pPr>
      <w:r>
        <w:rPr>
          <w:rFonts w:ascii="Calibri" w:cs="Calibri" w:eastAsia="Calibri" w:hAnsi="Calibri"/>
          <w:b/>
          <w:bCs/>
        </w:rPr>
        <w:t xml:space="preserve">Modello E — Clausole per la negoziazione in materia di lavoro (art. 2-ter)</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6">
        <w:r>
          <w:rPr>
            <w:rFonts w:ascii="Calibri" w:cs="Calibri" w:eastAsia="Calibri" w:hAnsi="Calibri"/>
            <w:b/>
            <w:bCs/>
            <w:color w:val="2F6A4A"/>
            <w:sz w:val="20"/>
            <w:szCs w:val="20"/>
            <w:u w:val="single" w:color="2F6A4A"/>
          </w:rPr>
          <w:t xml:space="preserve">«Modello E — Clausole per la negoziazione in materia di lavoro (art. 2-ter)»</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Modello F — Clausole essenziali per l'accordo in materia di famiglia (art. 6)</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7">
        <w:r>
          <w:rPr>
            <w:rFonts w:ascii="Calibri" w:cs="Calibri" w:eastAsia="Calibri" w:hAnsi="Calibri"/>
            <w:b/>
            <w:bCs/>
            <w:color w:val="2F6A4A"/>
            <w:sz w:val="20"/>
            <w:szCs w:val="20"/>
            <w:u w:val="single" w:color="2F6A4A"/>
          </w:rPr>
          <w:t xml:space="preserve">«Modello F — Clausole essenziali per l'accordo in materia di famiglia (art. 6)»</w:t>
        </w:r>
      </w:hyperlink>
      <w:r>
        <w:rPr>
          <w:rFonts w:ascii="Calibri" w:cs="Calibri" w:eastAsia="Calibri" w:hAnsi="Calibri"/>
          <w:i/>
          <w:iCs/>
          <w:color w:val="4F5654"/>
          <w:sz w:val="20"/>
          <w:szCs w:val="20"/>
        </w:rPr>
        <w:t xml:space="preserve">.</w:t>
      </w:r>
    </w:p>
    <w:p>
      <w:pPr>
        <w:pStyle w:val="Heading2"/>
      </w:pPr>
      <w:r>
        <w:rPr>
          <w:rFonts w:ascii="Georgia" w:cs="Georgia" w:eastAsia="Georgia" w:hAnsi="Georgia"/>
          <w:b/>
          <w:bCs/>
        </w:rPr>
        <w:t xml:space="preserve">7. Note di compilazione</w:t>
      </w:r>
    </w:p>
    <w:p>
      <w:pPr>
        <w:pStyle w:val="Corpo"/>
        <w:keepNext w:val="false"/>
        <w:spacing w:after="100" w:line="264"/>
        <w:jc w:val="left"/>
      </w:pPr>
      <w:bookmarkStart w:name="nota_1" w:id="9"/>
      <w:r>
        <w:rPr>
          <w:rFonts w:ascii="Calibri" w:cs="Calibri" w:eastAsia="Calibri" w:hAnsi="Calibri"/>
          <w:b/>
          <w:bCs/>
          <w:sz w:val="21"/>
          <w:szCs w:val="21"/>
        </w:rPr>
        <w:t xml:space="preserve">(1) Riferimenti normativi nell'oggetto.</w:t>
      </w:r>
      <w:bookmarkEnd w:id="9"/>
      <w:r>
        <w:rPr>
          <w:rFonts w:ascii="Calibri" w:cs="Calibri" w:eastAsia="Calibri" w:hAnsi="Calibri"/>
          <w:sz w:val="21"/>
          <w:szCs w:val="21"/>
        </w:rPr>
        <w:t xml:space="preserve"> Servono a rendere riconoscibile l'atto e i suoi effetti (art. 8).</w:t>
      </w:r>
    </w:p>
    <w:p>
      <w:pPr>
        <w:pStyle w:val="Corpo"/>
        <w:keepNext w:val="false"/>
        <w:spacing w:after="100" w:line="264"/>
        <w:jc w:val="left"/>
      </w:pPr>
      <w:bookmarkStart w:name="nota_2" w:id="10"/>
      <w:r>
        <w:rPr>
          <w:rFonts w:ascii="Calibri" w:cs="Calibri" w:eastAsia="Calibri" w:hAnsi="Calibri"/>
          <w:b/>
          <w:bCs/>
          <w:sz w:val="21"/>
          <w:szCs w:val="21"/>
        </w:rPr>
        <w:t xml:space="preserve">(2) Oggetto.</w:t>
      </w:r>
      <w:bookmarkEnd w:id="10"/>
      <w:r>
        <w:rPr>
          <w:rFonts w:ascii="Calibri" w:cs="Calibri" w:eastAsia="Calibri" w:hAnsi="Calibri"/>
          <w:sz w:val="21"/>
          <w:szCs w:val="21"/>
        </w:rPr>
        <w:t xml:space="preserve"> L'art. 4, comma 1, chiede di «indicare l'oggetto della controversia». La procedibilità della domanda giudiziale si verifica su quell'oggetto: un oggetto stretto lascia scoperte le domande ulteriori.</w:t>
      </w:r>
    </w:p>
    <w:p>
      <w:pPr>
        <w:pStyle w:val="Corpo"/>
        <w:keepNext w:val="false"/>
        <w:spacing w:after="100" w:line="264"/>
        <w:jc w:val="left"/>
      </w:pPr>
      <w:bookmarkStart w:name="nota_3" w:id="11"/>
      <w:r>
        <w:rPr>
          <w:rFonts w:ascii="Calibri" w:cs="Calibri" w:eastAsia="Calibri" w:hAnsi="Calibri"/>
          <w:b/>
          <w:bCs/>
          <w:sz w:val="21"/>
          <w:szCs w:val="21"/>
        </w:rPr>
        <w:t xml:space="preserve">(3) Avvertimento.</w:t>
      </w:r>
      <w:bookmarkEnd w:id="11"/>
      <w:r>
        <w:rPr>
          <w:rFonts w:ascii="Calibri" w:cs="Calibri" w:eastAsia="Calibri" w:hAnsi="Calibri"/>
          <w:sz w:val="21"/>
          <w:szCs w:val="21"/>
        </w:rPr>
        <w:t xml:space="preserve"> È contenuto </w:t>
      </w:r>
      <w:r>
        <w:rPr>
          <w:rFonts w:ascii="Calibri" w:cs="Calibri" w:eastAsia="Calibri" w:hAnsi="Calibri"/>
          <w:b/>
          <w:bCs/>
          <w:sz w:val="21"/>
          <w:szCs w:val="21"/>
        </w:rPr>
        <w:t xml:space="preserve">obbligatorio</w:t>
      </w:r>
      <w:r>
        <w:rPr>
          <w:rFonts w:ascii="Calibri" w:cs="Calibri" w:eastAsia="Calibri" w:hAnsi="Calibri"/>
          <w:sz w:val="21"/>
          <w:szCs w:val="21"/>
        </w:rPr>
        <w:t xml:space="preserve"> dell'invito (art. 4, comma 1): riportatelo con le parole della legge, compresi i commi primo, secondo e terzo dell'art. 96 e il primo comma dell'art. 642 c.p.c.</w:t>
      </w:r>
    </w:p>
    <w:p>
      <w:pPr>
        <w:pStyle w:val="Corpo"/>
        <w:keepNext w:val="false"/>
        <w:spacing w:after="100" w:line="264"/>
        <w:jc w:val="left"/>
      </w:pPr>
      <w:bookmarkStart w:name="nota_4" w:id="12"/>
      <w:r>
        <w:rPr>
          <w:rFonts w:ascii="Calibri" w:cs="Calibri" w:eastAsia="Calibri" w:hAnsi="Calibri"/>
          <w:b/>
          <w:bCs/>
          <w:sz w:val="21"/>
          <w:szCs w:val="21"/>
        </w:rPr>
        <w:t xml:space="preserve">(4) Firma e certificazione.</w:t>
      </w:r>
      <w:bookmarkEnd w:id="12"/>
      <w:r>
        <w:rPr>
          <w:rFonts w:ascii="Calibri" w:cs="Calibri" w:eastAsia="Calibri" w:hAnsi="Calibri"/>
          <w:sz w:val="21"/>
          <w:szCs w:val="21"/>
        </w:rPr>
        <w:t xml:space="preserve"> L'invito è firmato dalla parte e l'avvocato che lo formula ne certifica l'autografia (art. 4, comma 2). Le comunicazioni passano tramite l'avvocato (art. 3, comma 1: «tramite il suo avvocato»).</w:t>
      </w:r>
    </w:p>
    <w:p>
      <w:pPr>
        <w:pStyle w:val="Corpo"/>
        <w:keepNext w:val="false"/>
        <w:spacing w:after="100" w:line="264"/>
        <w:jc w:val="left"/>
      </w:pPr>
      <w:bookmarkStart w:name="nota_5" w:id="13"/>
      <w:r>
        <w:rPr>
          <w:rFonts w:ascii="Calibri" w:cs="Calibri" w:eastAsia="Calibri" w:hAnsi="Calibri"/>
          <w:b/>
          <w:bCs/>
          <w:sz w:val="21"/>
          <w:szCs w:val="21"/>
        </w:rPr>
        <w:t xml:space="preserve">(5) Modello CNF.</w:t>
      </w:r>
      <w:bookmarkEnd w:id="13"/>
      <w:r>
        <w:rPr>
          <w:rFonts w:ascii="Calibri" w:cs="Calibri" w:eastAsia="Calibri" w:hAnsi="Calibri"/>
          <w:sz w:val="21"/>
          <w:szCs w:val="21"/>
        </w:rPr>
        <w:t xml:space="preserve"> Dal 2023 la convenzione «è conclusa mediante utilizzo del modello elaborato dal Consiglio nazionale forense», salvo diverso accordo (art. 2, comma 7-bis). Questo formulario contiene i contenuti di legge; se lo usate, le parti devono convenire di farlo.</w:t>
      </w:r>
    </w:p>
    <w:p>
      <w:pPr>
        <w:pStyle w:val="Corpo"/>
        <w:keepNext w:val="false"/>
        <w:spacing w:after="100" w:line="264"/>
        <w:jc w:val="left"/>
      </w:pPr>
      <w:bookmarkStart w:name="nota_6" w:id="14"/>
      <w:r>
        <w:rPr>
          <w:rFonts w:ascii="Calibri" w:cs="Calibri" w:eastAsia="Calibri" w:hAnsi="Calibri"/>
          <w:b/>
          <w:bCs/>
          <w:sz w:val="21"/>
          <w:szCs w:val="21"/>
        </w:rPr>
        <w:t xml:space="preserve">(6) Termine.</w:t>
      </w:r>
      <w:bookmarkEnd w:id="14"/>
      <w:r>
        <w:rPr>
          <w:rFonts w:ascii="Calibri" w:cs="Calibri" w:eastAsia="Calibri" w:hAnsi="Calibri"/>
          <w:sz w:val="21"/>
          <w:szCs w:val="21"/>
        </w:rPr>
        <w:t xml:space="preserve"> È contenuto necessario della convenzione (art. 2, comma 2, lett. a): tra uno e tre mesi, più trenta giorni di proroga su accordo. Nei casi obbligatori, decorso il termine la condizione si considera avverata (art. 3, comma 2).</w:t>
      </w:r>
    </w:p>
    <w:p>
      <w:pPr>
        <w:pStyle w:val="Corpo"/>
        <w:keepNext w:val="false"/>
        <w:spacing w:after="100" w:line="264"/>
        <w:jc w:val="left"/>
      </w:pPr>
      <w:bookmarkStart w:name="nota_7" w:id="15"/>
      <w:r>
        <w:rPr>
          <w:rFonts w:ascii="Calibri" w:cs="Calibri" w:eastAsia="Calibri" w:hAnsi="Calibri"/>
          <w:b/>
          <w:bCs/>
          <w:sz w:val="21"/>
          <w:szCs w:val="21"/>
        </w:rPr>
        <w:t xml:space="preserve">(7) Clausole istruttorie.</w:t>
      </w:r>
      <w:bookmarkEnd w:id="15"/>
      <w:r>
        <w:rPr>
          <w:rFonts w:ascii="Calibri" w:cs="Calibri" w:eastAsia="Calibri" w:hAnsi="Calibri"/>
          <w:sz w:val="21"/>
          <w:szCs w:val="21"/>
        </w:rPr>
        <w:t xml:space="preserve"> Le dichiarazioni dei terzi si rendono presso lo studio di un avvocato o il Consiglio dell'ordine, alla presenza degli avvocati delle altre parti, con gli avvertimenti dell'art. 4-bis, comma 2; non può renderle il minore di quattordici anni (comma 3); il verbale «fa piena prova di quanto gli avvocati attestano essere avvenuto in loro presenza» ed è valutato dal giudice ex art. 116, primo comma, c.p.c. (comma 6); </w:t>
      </w:r>
      <w:r>
        <w:rPr>
          <w:rFonts w:ascii="Calibri" w:cs="Calibri" w:eastAsia="Calibri" w:hAnsi="Calibri"/>
          <w:b/>
          <w:bCs/>
          <w:sz w:val="21"/>
          <w:szCs w:val="21"/>
        </w:rPr>
        <w:t xml:space="preserve">non</w:t>
      </w:r>
      <w:r>
        <w:rPr>
          <w:rFonts w:ascii="Calibri" w:cs="Calibri" w:eastAsia="Calibri" w:hAnsi="Calibri"/>
          <w:sz w:val="21"/>
          <w:szCs w:val="21"/>
        </w:rPr>
        <w:t xml:space="preserve"> si possono acquisire da remoto (art. 2-bis, comma 5). Le dichiarazioni confessorie hanno l'efficacia e i limiti dell'art. 2735 c.c.; il rifiuto ingiustificato è valutato ai fini delle spese, anche ex art. 96 c.p.c. (art. 4-ter).</w:t>
      </w:r>
    </w:p>
    <w:p>
      <w:pPr>
        <w:pStyle w:val="Corpo"/>
        <w:keepNext w:val="false"/>
        <w:spacing w:after="100" w:line="264"/>
        <w:jc w:val="left"/>
      </w:pPr>
      <w:r>
        <w:rPr>
          <w:rFonts w:ascii="Calibri" w:cs="Calibri" w:eastAsia="Calibri" w:hAnsi="Calibri"/>
          <w:b/>
          <w:bCs/>
          <w:sz w:val="21"/>
          <w:szCs w:val="21"/>
        </w:rPr>
        <w:t xml:space="preserve">Dopo l'accordo.</w:t>
      </w:r>
      <w:r>
        <w:rPr>
          <w:rFonts w:ascii="Calibri" w:cs="Calibri" w:eastAsia="Calibri" w:hAnsi="Calibri"/>
          <w:sz w:val="21"/>
          <w:szCs w:val="21"/>
        </w:rPr>
        <w:t xml:space="preserve"> Titolo esecutivo e per ipoteca giudiziale (art. 5, comma 1); va trascritto integralmente nel precetto (comma 2-bis); costituisce illecito deontologico impugnare un accordo alla cui redazione l'avvocato ha partecipato (comma 4). I difensori trasmettono copia dell'accordo, per il tramite del CNF, al consiglio dell'ordine del luogo in cui è stato raggiunto o presso cui è iscritto uno degli avvocati (art. 11, comma 1).</w:t>
      </w:r>
    </w:p>
    <w:p>
      <w:pPr>
        <w:pStyle w:val="Heading2"/>
      </w:pPr>
      <w:r>
        <w:rPr>
          <w:rFonts w:ascii="Georgia" w:cs="Georgia" w:eastAsia="Georgia" w:hAnsi="Georgia"/>
          <w:b/>
          <w:bCs/>
        </w:rPr>
        <w:t xml:space="preserve">8. Errori frequenti e come evitarli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Negoziazione nelle materie della mediazione obbligatoria.</w:t>
      </w:r>
      <w:r>
        <w:rPr>
          <w:rFonts w:ascii="Calibri" w:cs="Calibri" w:eastAsia="Calibri" w:hAnsi="Calibri"/>
          <w:sz w:val="21"/>
          <w:szCs w:val="21"/>
        </w:rPr>
        <w:t xml:space="preserve"> </w:t>
      </w:r>
      <w:r>
        <w:rPr>
          <w:rFonts w:ascii="Calibri" w:cs="Calibri" w:eastAsia="Calibri" w:hAnsi="Calibri"/>
          <w:i/>
          <w:iCs/>
          <w:sz w:val="21"/>
          <w:szCs w:val="21"/>
        </w:rPr>
        <w:t xml:space="preserve">Rimedio:</w:t>
      </w:r>
      <w:r>
        <w:rPr>
          <w:rFonts w:ascii="Calibri" w:cs="Calibri" w:eastAsia="Calibri" w:hAnsi="Calibri"/>
          <w:sz w:val="21"/>
          <w:szCs w:val="21"/>
        </w:rPr>
        <w:t xml:space="preserve"> controllate prima l'art. 5, comma 1, d.lgs. 28/2010.</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Negoziazione «obbligatoria» contro un consumatore</w:t>
      </w:r>
      <w:r>
        <w:rPr>
          <w:rFonts w:ascii="Calibri" w:cs="Calibri" w:eastAsia="Calibri" w:hAnsi="Calibri"/>
          <w:sz w:val="21"/>
          <w:szCs w:val="21"/>
        </w:rPr>
        <w:t xml:space="preserve"> su un'obbligazione contrattuale. Non è condizione di procedibilità (art. 3, comma 1). </w:t>
      </w:r>
      <w:r>
        <w:rPr>
          <w:rFonts w:ascii="Calibri" w:cs="Calibri" w:eastAsia="Calibri" w:hAnsi="Calibri"/>
          <w:i/>
          <w:iCs/>
          <w:sz w:val="21"/>
          <w:szCs w:val="21"/>
        </w:rPr>
        <w:t xml:space="preserve">Rimedio:</w:t>
      </w:r>
      <w:r>
        <w:rPr>
          <w:rFonts w:ascii="Calibri" w:cs="Calibri" w:eastAsia="Calibri" w:hAnsi="Calibri"/>
          <w:sz w:val="21"/>
          <w:szCs w:val="21"/>
        </w:rPr>
        <w:t xml:space="preserve"> resta possibile come strumento volontario.</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Invito senza l'avvertimento dell'art. 4, comma 1.</w:t>
      </w:r>
      <w:r>
        <w:rPr>
          <w:rFonts w:ascii="Calibri" w:cs="Calibri" w:eastAsia="Calibri" w:hAnsi="Calibri"/>
          <w:sz w:val="21"/>
          <w:szCs w:val="21"/>
        </w:rPr>
        <w:t xml:space="preserve"> </w:t>
      </w:r>
      <w:r>
        <w:rPr>
          <w:rFonts w:ascii="Calibri" w:cs="Calibri" w:eastAsia="Calibri" w:hAnsi="Calibri"/>
          <w:i/>
          <w:iCs/>
          <w:sz w:val="21"/>
          <w:szCs w:val="21"/>
        </w:rPr>
        <w:t xml:space="preserve">Rimedio:</w:t>
      </w:r>
      <w:r>
        <w:rPr>
          <w:rFonts w:ascii="Calibri" w:cs="Calibri" w:eastAsia="Calibri" w:hAnsi="Calibri"/>
          <w:sz w:val="21"/>
          <w:szCs w:val="21"/>
        </w:rPr>
        <w:t xml:space="preserve"> testo del Modello A.</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Firma dell'invito non certificata.</w:t>
      </w:r>
      <w:r>
        <w:rPr>
          <w:rFonts w:ascii="Calibri" w:cs="Calibri" w:eastAsia="Calibri" w:hAnsi="Calibri"/>
          <w:sz w:val="21"/>
          <w:szCs w:val="21"/>
        </w:rPr>
        <w:t xml:space="preserve"> </w:t>
      </w:r>
      <w:r>
        <w:rPr>
          <w:rFonts w:ascii="Calibri" w:cs="Calibri" w:eastAsia="Calibri" w:hAnsi="Calibri"/>
          <w:i/>
          <w:iCs/>
          <w:sz w:val="21"/>
          <w:szCs w:val="21"/>
        </w:rPr>
        <w:t xml:space="preserve">Rimedio:</w:t>
      </w:r>
      <w:r>
        <w:rPr>
          <w:rFonts w:ascii="Calibri" w:cs="Calibri" w:eastAsia="Calibri" w:hAnsi="Calibri"/>
          <w:sz w:val="21"/>
          <w:szCs w:val="21"/>
        </w:rPr>
        <w:t xml:space="preserve"> art. 4, comma 2.</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Convenzione senza termine o con termine fuori dai limiti.</w:t>
      </w:r>
      <w:r>
        <w:rPr>
          <w:rFonts w:ascii="Calibri" w:cs="Calibri" w:eastAsia="Calibri" w:hAnsi="Calibri"/>
          <w:sz w:val="21"/>
          <w:szCs w:val="21"/>
        </w:rPr>
        <w:t xml:space="preserve"> </w:t>
      </w:r>
      <w:r>
        <w:rPr>
          <w:rFonts w:ascii="Calibri" w:cs="Calibri" w:eastAsia="Calibri" w:hAnsi="Calibri"/>
          <w:i/>
          <w:iCs/>
          <w:sz w:val="21"/>
          <w:szCs w:val="21"/>
        </w:rPr>
        <w:t xml:space="preserve">Rimedio:</w:t>
      </w:r>
      <w:r>
        <w:rPr>
          <w:rFonts w:ascii="Calibri" w:cs="Calibri" w:eastAsia="Calibri" w:hAnsi="Calibri"/>
          <w:sz w:val="21"/>
          <w:szCs w:val="21"/>
        </w:rPr>
        <w:t xml:space="preserve"> da uno a tre mesi.</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Clausole istruttorie non previste nella convenzione</w:t>
      </w:r>
      <w:r>
        <w:rPr>
          <w:rFonts w:ascii="Calibri" w:cs="Calibri" w:eastAsia="Calibri" w:hAnsi="Calibri"/>
          <w:sz w:val="21"/>
          <w:szCs w:val="21"/>
        </w:rPr>
        <w:t xml:space="preserve"> e poi usate. </w:t>
      </w:r>
      <w:r>
        <w:rPr>
          <w:rFonts w:ascii="Calibri" w:cs="Calibri" w:eastAsia="Calibri" w:hAnsi="Calibri"/>
          <w:i/>
          <w:iCs/>
          <w:sz w:val="21"/>
          <w:szCs w:val="21"/>
        </w:rPr>
        <w:t xml:space="preserve">Rimedio:</w:t>
      </w:r>
      <w:r>
        <w:rPr>
          <w:rFonts w:ascii="Calibri" w:cs="Calibri" w:eastAsia="Calibri" w:hAnsi="Calibri"/>
          <w:sz w:val="21"/>
          <w:szCs w:val="21"/>
        </w:rPr>
        <w:t xml:space="preserve"> art. 2, comma 2-bis, in convenzione.</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Decadenza persa dopo il mancato accordo.</w:t>
      </w:r>
      <w:r>
        <w:rPr>
          <w:rFonts w:ascii="Calibri" w:cs="Calibri" w:eastAsia="Calibri" w:hAnsi="Calibri"/>
          <w:sz w:val="21"/>
          <w:szCs w:val="21"/>
        </w:rPr>
        <w:t xml:space="preserve"> Il termine riparte, «medesimo», dal rifiuto, dalla mancata accettazione o dalla dichiarazione di mancato accordo (art. 8). </w:t>
      </w:r>
      <w:r>
        <w:rPr>
          <w:rFonts w:ascii="Calibri" w:cs="Calibri" w:eastAsia="Calibri" w:hAnsi="Calibri"/>
          <w:i/>
          <w:iCs/>
          <w:sz w:val="21"/>
          <w:szCs w:val="21"/>
        </w:rPr>
        <w:t xml:space="preserve">Rimedio:</w:t>
      </w:r>
      <w:r>
        <w:rPr>
          <w:rFonts w:ascii="Calibri" w:cs="Calibri" w:eastAsia="Calibri" w:hAnsi="Calibri"/>
          <w:sz w:val="21"/>
          <w:szCs w:val="21"/>
        </w:rPr>
        <w:t xml:space="preserve"> in agenda la data della dichiarazione.</w:t>
      </w:r>
    </w:p>
    <w:p>
      <w:pPr>
        <w:pStyle w:val="Corpo"/>
        <w:spacing w:after="70" w:line="264"/>
        <w:ind w:left="425" w:hanging="425"/>
        <w:jc w:val="left"/>
      </w:pPr>
      <w:r>
        <w:rPr>
          <w:rFonts w:ascii="Calibri" w:cs="Calibri" w:eastAsia="Calibri" w:hAnsi="Calibri"/>
          <w:b/>
          <w:bCs/>
          <w:color w:val="2F5546"/>
          <w:sz w:val="21"/>
          <w:szCs w:val="21"/>
        </w:rPr>
        <w:t xml:space="preserve">8.</w:t>
      </w:r>
      <w:r>
        <w:rPr>
          <w:rFonts w:ascii="Calibri" w:cs="Calibri" w:eastAsia="Calibri" w:hAnsi="Calibri"/>
          <w:sz w:val="21"/>
          <w:szCs w:val="21"/>
        </w:rPr>
        <w:tab/>
      </w:r>
      <w:r>
        <w:rPr>
          <w:rFonts w:ascii="Calibri" w:cs="Calibri" w:eastAsia="Calibri" w:hAnsi="Calibri"/>
          <w:b/>
          <w:bCs/>
          <w:sz w:val="21"/>
          <w:szCs w:val="21"/>
        </w:rPr>
        <w:t xml:space="preserve">Famiglia: dimenticare la trasmissione allo stato civile entro dieci giorni.</w:t>
      </w:r>
      <w:r>
        <w:rPr>
          <w:rFonts w:ascii="Calibri" w:cs="Calibri" w:eastAsia="Calibri" w:hAnsi="Calibri"/>
          <w:sz w:val="21"/>
          <w:szCs w:val="21"/>
        </w:rPr>
        <w:t xml:space="preserve"> Sanzione da 2.000 a 10.000 euro (art. 6, comma 4).</w:t>
      </w:r>
    </w:p>
    <w:p>
      <w:pPr>
        <w:pStyle w:val="Corpo"/>
        <w:spacing w:after="70" w:line="264"/>
        <w:ind w:left="425" w:hanging="425"/>
        <w:jc w:val="left"/>
      </w:pPr>
      <w:r>
        <w:rPr>
          <w:rFonts w:ascii="Calibri" w:cs="Calibri" w:eastAsia="Calibri" w:hAnsi="Calibri"/>
          <w:b/>
          <w:bCs/>
          <w:color w:val="2F5546"/>
          <w:sz w:val="21"/>
          <w:szCs w:val="21"/>
        </w:rPr>
        <w:t xml:space="preserve">9.</w:t>
      </w:r>
      <w:r>
        <w:rPr>
          <w:rFonts w:ascii="Calibri" w:cs="Calibri" w:eastAsia="Calibri" w:hAnsi="Calibri"/>
          <w:sz w:val="21"/>
          <w:szCs w:val="21"/>
        </w:rPr>
        <w:tab/>
      </w:r>
      <w:r>
        <w:rPr>
          <w:rFonts w:ascii="Calibri" w:cs="Calibri" w:eastAsia="Calibri" w:hAnsi="Calibri"/>
          <w:b/>
          <w:bCs/>
          <w:sz w:val="21"/>
          <w:szCs w:val="21"/>
        </w:rPr>
        <w:t xml:space="preserve">Lavoro: accordo non trasmesso all'organismo dell'art. 76 d.lgs. 276/2003 entro dieci giorni</w:t>
      </w:r>
      <w:r>
        <w:rPr>
          <w:rFonts w:ascii="Calibri" w:cs="Calibri" w:eastAsia="Calibri" w:hAnsi="Calibri"/>
          <w:sz w:val="21"/>
          <w:szCs w:val="21"/>
        </w:rPr>
        <w:t xml:space="preserve"> (art. 2-ter).</w:t>
      </w:r>
    </w:p>
    <w:p>
      <w:pPr>
        <w:pStyle w:val="Corpo"/>
        <w:spacing w:after="70" w:line="264"/>
        <w:ind w:left="425" w:hanging="425"/>
        <w:jc w:val="left"/>
      </w:pPr>
      <w:r>
        <w:rPr>
          <w:rFonts w:ascii="Calibri" w:cs="Calibri" w:eastAsia="Calibri" w:hAnsi="Calibri"/>
          <w:b/>
          <w:bCs/>
          <w:color w:val="2F5546"/>
          <w:sz w:val="21"/>
          <w:szCs w:val="21"/>
        </w:rPr>
        <w:t xml:space="preserve">10.</w:t>
      </w:r>
      <w:r>
        <w:rPr>
          <w:rFonts w:ascii="Calibri" w:cs="Calibri" w:eastAsia="Calibri" w:hAnsi="Calibri"/>
          <w:sz w:val="21"/>
          <w:szCs w:val="21"/>
        </w:rPr>
        <w:tab/>
      </w:r>
      <w:r>
        <w:rPr>
          <w:rFonts w:ascii="Calibri" w:cs="Calibri" w:eastAsia="Calibri" w:hAnsi="Calibri"/>
          <w:b/>
          <w:bCs/>
          <w:sz w:val="21"/>
          <w:szCs w:val="21"/>
        </w:rPr>
        <w:t xml:space="preserve">Patrocinio: promettere al cliente che lo Stato paga comunque.</w:t>
      </w:r>
      <w:r>
        <w:rPr>
          <w:rFonts w:ascii="Calibri" w:cs="Calibri" w:eastAsia="Calibri" w:hAnsi="Calibri"/>
          <w:sz w:val="21"/>
          <w:szCs w:val="21"/>
        </w:rPr>
        <w:t xml:space="preserve"> Solo nei casi obbligatori e solo con accordo (art. 11-bis).</w:t>
      </w:r>
    </w:p>
    <w:p>
      <w:pPr>
        <w:pStyle w:val="Corpo"/>
        <w:spacing w:after="70" w:line="264"/>
        <w:ind w:left="425" w:hanging="425"/>
        <w:jc w:val="left"/>
      </w:pPr>
      <w:r>
        <w:rPr>
          <w:rFonts w:ascii="Calibri" w:cs="Calibri" w:eastAsia="Calibri" w:hAnsi="Calibri"/>
          <w:b/>
          <w:bCs/>
          <w:color w:val="2F5546"/>
          <w:sz w:val="21"/>
          <w:szCs w:val="21"/>
        </w:rPr>
        <w:t xml:space="preserve">11.</w:t>
      </w:r>
      <w:r>
        <w:rPr>
          <w:rFonts w:ascii="Calibri" w:cs="Calibri" w:eastAsia="Calibri" w:hAnsi="Calibri"/>
          <w:sz w:val="21"/>
          <w:szCs w:val="21"/>
        </w:rPr>
        <w:tab/>
      </w:r>
      <w:r>
        <w:rPr>
          <w:rFonts w:ascii="Calibri" w:cs="Calibri" w:eastAsia="Calibri" w:hAnsi="Calibri"/>
          <w:b/>
          <w:bCs/>
          <w:sz w:val="21"/>
          <w:szCs w:val="21"/>
        </w:rPr>
        <w:t xml:space="preserve">Contratto di trasporto: agire senza negoziazione</w:t>
      </w:r>
      <w:r>
        <w:rPr>
          <w:rFonts w:ascii="Calibri" w:cs="Calibri" w:eastAsia="Calibri" w:hAnsi="Calibri"/>
          <w:sz w:val="21"/>
          <w:szCs w:val="21"/>
        </w:rPr>
        <w:t xml:space="preserve"> perché la lite supera 50.000 euro. L'obbligo dell'art. 1, comma 249, l. 190/2014 non ha soglia di valore. </w:t>
      </w:r>
      <w:r>
        <w:rPr>
          <w:rFonts w:ascii="Calibri" w:cs="Calibri" w:eastAsia="Calibri" w:hAnsi="Calibri"/>
          <w:i/>
          <w:iCs/>
          <w:sz w:val="21"/>
          <w:szCs w:val="21"/>
        </w:rPr>
        <w:t xml:space="preserve">Rimedio:</w:t>
      </w:r>
      <w:r>
        <w:rPr>
          <w:rFonts w:ascii="Calibri" w:cs="Calibri" w:eastAsia="Calibri" w:hAnsi="Calibri"/>
          <w:sz w:val="21"/>
          <w:szCs w:val="21"/>
        </w:rPr>
        <w:t xml:space="preserve"> invito anche oltre i 50.000 euro (o mediazione presso le associazioni di categoria, se prevista).</w:t>
      </w:r>
    </w:p>
    <w:p>
      <w:pPr>
        <w:pStyle w:val="Heading2"/>
      </w:pPr>
      <w:r>
        <w:rPr>
          <w:rFonts w:ascii="Georgia" w:cs="Georgia" w:eastAsia="Georgia" w:hAnsi="Georgia"/>
          <w:b/>
          <w:bCs/>
        </w:rPr>
        <w:t xml:space="preserve">9. Varianti e casi particolari</w:t>
      </w:r>
    </w:p>
    <w:p>
      <w:pPr>
        <w:pStyle w:val="Corpo"/>
        <w:numPr>
          <w:ilvl w:val="0"/>
          <w:numId w:val="4"/>
        </w:numPr>
        <w:spacing w:after="60" w:line="264"/>
        <w:jc w:val="left"/>
      </w:pPr>
      <w:r>
        <w:rPr>
          <w:rFonts w:ascii="Calibri" w:cs="Calibri" w:eastAsia="Calibri" w:hAnsi="Calibri"/>
          <w:b/>
          <w:bCs/>
          <w:sz w:val="21"/>
          <w:szCs w:val="21"/>
        </w:rPr>
        <w:t xml:space="preserve">RC auto</w:t>
      </w:r>
      <w:r>
        <w:rPr>
          <w:rFonts w:ascii="Calibri" w:cs="Calibri" w:eastAsia="Calibri" w:hAnsi="Calibri"/>
          <w:sz w:val="21"/>
          <w:szCs w:val="21"/>
        </w:rPr>
        <w:t xml:space="preserve">: il sistema di risoluzione stragiudiziale dell'art. 187.1 del Codice delle assicurazioni private tiene luogo della convenzione (art. 3, comma 1).</w:t>
      </w:r>
    </w:p>
    <w:p>
      <w:pPr>
        <w:pStyle w:val="Corpo"/>
        <w:numPr>
          <w:ilvl w:val="0"/>
          <w:numId w:val="4"/>
        </w:numPr>
        <w:spacing w:after="60" w:line="264"/>
        <w:jc w:val="left"/>
      </w:pPr>
      <w:r>
        <w:rPr>
          <w:rFonts w:ascii="Calibri" w:cs="Calibri" w:eastAsia="Calibri" w:hAnsi="Calibri"/>
          <w:b/>
          <w:bCs/>
          <w:sz w:val="21"/>
          <w:szCs w:val="21"/>
        </w:rPr>
        <w:t xml:space="preserve">Materie con altri procedimenti obbligatori di conciliazione</w:t>
      </w:r>
      <w:r>
        <w:rPr>
          <w:rFonts w:ascii="Calibri" w:cs="Calibri" w:eastAsia="Calibri" w:hAnsi="Calibri"/>
          <w:sz w:val="21"/>
          <w:szCs w:val="21"/>
        </w:rPr>
        <w:t xml:space="preserve">: restano ferme quelle discipline; il termine dell'art. 3 decorre insieme ai loro termini di procedibilità (art. 3, comma 5).</w:t>
      </w:r>
    </w:p>
    <w:p>
      <w:pPr>
        <w:pStyle w:val="Corpo"/>
        <w:numPr>
          <w:ilvl w:val="0"/>
          <w:numId w:val="4"/>
        </w:numPr>
        <w:spacing w:after="60" w:line="264"/>
        <w:jc w:val="left"/>
      </w:pPr>
      <w:r>
        <w:rPr>
          <w:rFonts w:ascii="Calibri" w:cs="Calibri" w:eastAsia="Calibri" w:hAnsi="Calibri"/>
          <w:b/>
          <w:bCs/>
          <w:sz w:val="21"/>
          <w:szCs w:val="21"/>
        </w:rPr>
        <w:t xml:space="preserve">Pubbliche amministrazioni</w:t>
      </w:r>
      <w:r>
        <w:rPr>
          <w:rFonts w:ascii="Calibri" w:cs="Calibri" w:eastAsia="Calibri" w:hAnsi="Calibri"/>
          <w:sz w:val="21"/>
          <w:szCs w:val="21"/>
        </w:rPr>
        <w:t xml:space="preserve">: devono affidare la convenzione alla propria avvocatura, ove presente (art. 2, comma 1-bis).</w:t>
      </w:r>
    </w:p>
    <w:p>
      <w:pPr>
        <w:pStyle w:val="Corpo"/>
        <w:numPr>
          <w:ilvl w:val="0"/>
          <w:numId w:val="4"/>
        </w:numPr>
        <w:spacing w:after="60" w:line="264"/>
        <w:jc w:val="left"/>
      </w:pPr>
      <w:r>
        <w:rPr>
          <w:rFonts w:ascii="Calibri" w:cs="Calibri" w:eastAsia="Calibri" w:hAnsi="Calibri"/>
          <w:b/>
          <w:bCs/>
          <w:sz w:val="21"/>
          <w:szCs w:val="21"/>
        </w:rPr>
        <w:t xml:space="preserve">Separazione o divorzio davanti all'ufficiale dello stato civile</w:t>
      </w:r>
      <w:r>
        <w:rPr>
          <w:rFonts w:ascii="Calibri" w:cs="Calibri" w:eastAsia="Calibri" w:hAnsi="Calibri"/>
          <w:sz w:val="21"/>
          <w:szCs w:val="21"/>
        </w:rPr>
        <w:t xml:space="preserve"> (art. 12): senza figli minori, maggiorenni incapaci, con handicap grave o non autosufficienti; assistenza dell'avvocato facoltativa; niente patti di trasferimento patrimoniale; per separazione e divorzio, conferma davanti all'ufficiale non prima di trenta giorni, e la mancata comparizione equivale a mancata conferma.</w:t>
      </w:r>
    </w:p>
    <w:p>
      <w:pPr>
        <w:pStyle w:val="Corpo"/>
        <w:numPr>
          <w:ilvl w:val="0"/>
          <w:numId w:val="4"/>
        </w:numPr>
        <w:spacing w:after="60" w:line="264"/>
        <w:jc w:val="left"/>
      </w:pPr>
      <w:r>
        <w:rPr>
          <w:rFonts w:ascii="Calibri" w:cs="Calibri" w:eastAsia="Calibri" w:hAnsi="Calibri"/>
          <w:b/>
          <w:bCs/>
          <w:sz w:val="21"/>
          <w:szCs w:val="21"/>
        </w:rPr>
        <w:t xml:space="preserve">Riservatezza</w:t>
      </w:r>
      <w:r>
        <w:rPr>
          <w:rFonts w:ascii="Calibri" w:cs="Calibri" w:eastAsia="Calibri" w:hAnsi="Calibri"/>
          <w:sz w:val="21"/>
          <w:szCs w:val="21"/>
        </w:rPr>
        <w:t xml:space="preserve">: avvocati e partecipanti non possono essere tenuti a deporre sul contenuto delle dichiarazioni; si applicano le garanzie degli artt. 103 e 200 c.p.p. (art. 9, commi 3-4). I difensori non possono essere nominati arbitri nelle controversie con lo stesso oggetto o connesse (art. 9, comma 1).</w:t>
      </w:r>
    </w:p>
    <w:p>
      <w:pPr>
        <w:pStyle w:val="Heading2"/>
      </w:pPr>
      <w:r>
        <w:rPr>
          <w:rFonts w:ascii="Georgia" w:cs="Georgia" w:eastAsia="Georgia" w:hAnsi="Georgia"/>
          <w:b/>
          <w:bCs/>
        </w:rPr>
        <w:t xml:space="preserve">10. Punti incerti (dichiarati)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Rinvio dell'art. 3, comma 1, all'«art. 5, comma 1-bis» d.lgs. 28/2010</w:t>
      </w:r>
      <w:r>
        <w:rPr>
          <w:rFonts w:ascii="Calibri" w:cs="Calibri" w:eastAsia="Calibri" w:hAnsi="Calibri"/>
          <w:sz w:val="21"/>
          <w:szCs w:val="21"/>
        </w:rPr>
        <w:t xml:space="preserve">: è la numerazione anteriore alla riforma; il formulario lo legge come rinvio alle materie oggi elencate nell'art. 5, comma 1.</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Soglia dell'art. 82 c.p.c. — risolto (revisione del 18/10/2026).</w:t>
      </w:r>
      <w:r>
        <w:rPr>
          <w:rFonts w:ascii="Calibri" w:cs="Calibri" w:eastAsia="Calibri" w:hAnsi="Calibri"/>
          <w:sz w:val="21"/>
          <w:szCs w:val="21"/>
        </w:rPr>
        <w:t xml:space="preserve"> La soglia è 1.100 euro: l'art. 13, comma 1, lett. a), del d.l. 212/2011 ha sostituito le parole «euro 516,46» con «euro 1.100» (nota 135 di Normattiva); il testo consolidato pubblicato su Normattiva riporta ancora «lire un milione» perché non ha recepito la modifica, che risulta dalla nota.</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Durata degli effetti sulla prescrizione</w:t>
      </w:r>
      <w:r>
        <w:rPr>
          <w:rFonts w:ascii="Calibri" w:cs="Calibri" w:eastAsia="Calibri" w:hAnsi="Calibri"/>
          <w:sz w:val="21"/>
          <w:szCs w:val="21"/>
        </w:rPr>
        <w:t xml:space="preserve"> dopo il fallimento della negoziazione: l'art. 8 dice che si producono «gli effetti della domanda giudiziale», senza specificare fino a quando; non trattato.</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Ipotesi di patrocinio dell'art. 1, comma 249, l. 190/2014 — risolto.</w:t>
      </w:r>
      <w:r>
        <w:rPr>
          <w:rFonts w:ascii="Calibri" w:cs="Calibri" w:eastAsia="Calibri" w:hAnsi="Calibri"/>
          <w:sz w:val="21"/>
          <w:szCs w:val="21"/>
        </w:rPr>
        <w:t xml:space="preserve"> È la negoziazione obbligatoria nelle controversie sul contratto di trasporto e sub-trasporto (§ 1). Resta da valutare caso per caso se a questa ipotesi si applichino anche le esclusioni dell'art. 3 (procedimenti esclusi, consumatori): la norma rinvia al d.l. 132/2014 «per la disciplina del procedimento» e non lo dice.</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Combinazione con i termini dell'impugnazione del licenziamento</w:t>
      </w:r>
      <w:r>
        <w:rPr>
          <w:rFonts w:ascii="Calibri" w:cs="Calibri" w:eastAsia="Calibri" w:hAnsi="Calibri"/>
          <w:sz w:val="21"/>
          <w:szCs w:val="21"/>
        </w:rPr>
        <w:t xml:space="preserve"> (art. 6 l. 604/1966) nella negoziazione in materia di lavoro: non regolata espressamente (v. formulario sull'impugnazione del licenziamento).</w:t>
      </w:r>
    </w:p>
    <w:p>
      <w:pPr>
        <w:pBdr>
          <w:bottom w:val="single" w:color="D9DAD2" w:sz="6" w:space="1"/>
        </w:pBdr>
        <w:spacing w:after="80" w:before="200"/>
      </w:pPr>
    </w:p>
    <w:p>
      <w:pPr>
        <w:pStyle w:val="Corpo"/>
        <w:spacing w:after="0" w:before="120" w:line="264"/>
        <w:jc w:val="left"/>
      </w:pPr>
      <w:r>
        <w:rPr>
          <w:rFonts w:ascii="Calibri" w:cs="Calibri" w:eastAsia="Calibri" w:hAnsi="Calibri"/>
          <w:i/>
          <w:iCs/>
          <w:color w:val="7A817E"/>
          <w:sz w:val="17"/>
          <w:szCs w:val="17"/>
        </w:rPr>
        <w:t xml:space="preserve">Aggiornato al 18/10/2026 · norme verificate su Normattiva (testo vigente) il 18/10/2026; l. 190/2014, art. 1, comma 249, letta nel corpus Chiostro; revisione avversaria indipendente del 18/10/2026.</w:t>
      </w:r>
    </w:p>
    <w:sectPr>
      <w:footerReference w:type="default" r:id="rId14"/>
      <w:type w:val="nextPage"/>
      <w:pgSz w:w="11906" w:h="16838" w:orient="portrait"/>
      <w:pgMar w:top="1134" w:right="1134" w:bottom="1247" w:left="1134" w:header="624" w:footer="62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638"/>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67" w:hanging="567"/>
      </w:pPr>
      <w:rPr>
        <w:rFonts w:ascii="Times New Roman" w:cs="Times New Roman" w:eastAsia="Times New Roman" w:hAnsi="Times New Roman"/>
        <w:sz w:val="24"/>
        <w:szCs w:val="24"/>
      </w:rPr>
    </w:lvl>
  </w:abstractNum>
  <w:abstractNum w:abstractNumId="3" w15:restartNumberingAfterBreak="0">
    <w:multiLevelType w:val="hybridMultilevel"/>
    <w:lvl w:ilvl="0" w15:tentative="1">
      <w:start w:val="1"/>
      <w:numFmt w:val="bullet"/>
      <w:lvlText w:val="–"/>
      <w:lvlJc w:val="left"/>
      <w:pPr>
        <w:ind w:left="567" w:hanging="340"/>
      </w:pPr>
      <w:rPr>
        <w:rFonts w:ascii="Times New Roman" w:cs="Times New Roman" w:eastAsia="Times New Roman" w:hAnsi="Times New Roman"/>
        <w:sz w:val="24"/>
        <w:szCs w:val="24"/>
      </w:rPr>
    </w:lvl>
  </w:abstractNum>
  <w:abstractNum w:abstractNumId="4" w15:restartNumberingAfterBreak="0">
    <w:multiLevelType w:val="hybridMultilevel"/>
    <w:lvl w:ilvl="0" w15:tentative="1">
      <w:start w:val="1"/>
      <w:numFmt w:val="bullet"/>
      <w:lvlText w:val="•"/>
      <w:lvlJc w:val="left"/>
      <w:pPr>
        <w:ind w:left="425" w:hanging="255"/>
      </w:pPr>
      <w:rPr>
        <w:rFonts w:ascii="Calibri" w:cs="Calibri" w:eastAsia="Calibri" w:hAnsi="Calibri"/>
        <w:color w:val="2F5546"/>
      </w:rPr>
    </w:lvl>
    <w:lvl w:ilvl="1" w15:tentative="1">
      <w:start w:val="1"/>
      <w:numFmt w:val="bullet"/>
      <w:lvlText w:val="–"/>
      <w:lvlJc w:val="left"/>
      <w:pPr>
        <w:ind w:left="794" w:hanging="255"/>
      </w:pPr>
      <w:rPr>
        <w:rFonts w:ascii="Calibri" w:cs="Calibri" w:eastAsia="Calibri" w:hAnsi="Calibri"/>
        <w:color w:val="4F5654"/>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it-IT" w:eastAsia="it-IT" w:bidi="ar-S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tto">
    <w:name w:val="Atto"/>
    <w:basedOn w:val="Normal"/>
    <w:qFormat/>
    <w:pPr>
      <w:spacing w:after="120" w:line="360"/>
      <w:jc w:val="both"/>
    </w:pPr>
    <w:rPr>
      <w:rFonts w:ascii="Times New Roman" w:cs="Times New Roman" w:eastAsia="Times New Roman" w:hAnsi="Times New Roman"/>
      <w:sz w:val="24"/>
      <w:szCs w:val="24"/>
    </w:rPr>
  </w:style>
  <w:style w:type="paragraph" w:styleId="AttoRiquadro">
    <w:name w:val="Atto riquadro"/>
    <w:basedOn w:val="Normal"/>
    <w:pPr>
      <w:spacing w:after="60" w:line="276"/>
    </w:pPr>
    <w:rPr>
      <w:rFonts w:ascii="Times New Roman" w:cs="Times New Roman" w:eastAsia="Times New Roman" w:hAnsi="Times New Roman"/>
      <w:sz w:val="22"/>
      <w:szCs w:val="22"/>
    </w:rPr>
  </w:style>
  <w:style w:type="paragraph" w:styleId="DidascaliaVariante">
    <w:name w:val="Didascalia variante"/>
    <w:basedOn w:val="Normal"/>
    <w:pPr>
      <w:spacing w:after="80" w:line="240"/>
    </w:pPr>
    <w:rPr>
      <w:rFonts w:ascii="Calibri" w:cs="Calibri" w:eastAsia="Calibri" w:hAnsi="Calibri"/>
      <w:b/>
      <w:bCs/>
      <w:color w:val="4F5654"/>
      <w:sz w:val="15"/>
      <w:szCs w:val="15"/>
    </w:rPr>
  </w:style>
  <w:style w:type="paragraph" w:styleId="NotaTitolo">
    <w:name w:val="Nota in testa: titolo"/>
    <w:basedOn w:val="Normal"/>
    <w:pPr>
      <w:spacing w:after="20" w:line="240"/>
    </w:pPr>
    <w:rPr>
      <w:rFonts w:ascii="Calibri" w:cs="Calibri" w:eastAsia="Calibri" w:hAnsi="Calibri"/>
      <w:color w:val="7A817E"/>
      <w:sz w:val="16"/>
      <w:szCs w:val="16"/>
    </w:rPr>
  </w:style>
  <w:style w:type="paragraph" w:styleId="NotaTesta">
    <w:name w:val="Nota in testa"/>
    <w:basedOn w:val="Normal"/>
    <w:pPr>
      <w:spacing w:after="20" w:line="240"/>
    </w:pPr>
    <w:rPr>
      <w:rFonts w:ascii="Calibri" w:cs="Calibri" w:eastAsia="Calibri" w:hAnsi="Calibri"/>
      <w:color w:val="7A817E"/>
      <w:sz w:val="16"/>
      <w:szCs w:val="16"/>
    </w:rPr>
  </w:style>
  <w:style w:type="paragraph" w:styleId="Corpo">
    <w:name w:val="Corpo istruzioni"/>
    <w:basedOn w:val="Normal"/>
    <w:qFormat/>
    <w:pPr>
      <w:spacing w:after="100" w:line="264"/>
    </w:pPr>
    <w:rPr>
      <w:rFonts w:ascii="Calibri" w:cs="Calibri" w:eastAsia="Calibri" w:hAnsi="Calibri"/>
      <w:color w:val="16191A"/>
      <w:sz w:val="21"/>
      <w:szCs w:val="21"/>
    </w:rPr>
  </w:style>
  <w:style w:type="paragraph" w:styleId="Tabella">
    <w:name w:val="Testo tabella"/>
    <w:basedOn w:val="Normal"/>
    <w:pPr>
      <w:spacing w:after="0" w:line="252"/>
    </w:pPr>
    <w:rPr>
      <w:rFonts w:ascii="Calibri" w:cs="Calibri" w:eastAsia="Calibri" w:hAnsi="Calibri"/>
      <w:color w:val="16191A"/>
      <w:sz w:val="18"/>
      <w:szCs w:val="18"/>
    </w:rPr>
  </w:style>
  <w:style w:type="paragraph" w:styleId="ListParagraph">
    <w:name w:val="List Paragraph"/>
    <w:basedOn w:val="Normal"/>
    <w:qFormat/>
    <w:pPr>
      <w:spacing w:after="60" w:line="264"/>
    </w:pPr>
    <w:rPr>
      <w:rFonts w:ascii="Calibri" w:cs="Calibri" w:eastAsia="Calibri" w:hAnsi="Calibri"/>
      <w:sz w:val="21"/>
      <w:szCs w:val="21"/>
    </w:rPr>
  </w:style>
  <w:style w:type="paragraph" w:styleId="Title">
    <w:name w:val="Title"/>
    <w:basedOn w:val="Normal"/>
    <w:next w:val="Normal"/>
    <w:qFormat/>
    <w:pPr>
      <w:spacing w:after="100"/>
    </w:pPr>
    <w:rPr>
      <w:rFonts w:ascii="Georgia" w:cs="Georgia" w:eastAsia="Georgia" w:hAnsi="Georgia"/>
      <w:b/>
      <w:bCs/>
      <w:color w:val="16191A"/>
      <w:sz w:val="40"/>
      <w:szCs w:val="40"/>
    </w:rPr>
  </w:style>
  <w:style w:type="paragraph" w:styleId="Subtitle">
    <w:name w:val="Subtitle"/>
    <w:basedOn w:val="Normal"/>
    <w:next w:val="Normal"/>
    <w:qFormat/>
    <w:pPr>
      <w:spacing w:after="140" w:before="60" w:line="276"/>
    </w:pPr>
    <w:rPr>
      <w:rFonts w:ascii="Georgia" w:cs="Georgia" w:eastAsia="Georgia" w:hAnsi="Georgia"/>
      <w:color w:val="16191A"/>
      <w:sz w:val="32"/>
      <w:szCs w:val="32"/>
    </w:rPr>
  </w:style>
  <w:style w:type="paragraph" w:styleId="Heading1">
    <w:name w:val="heading 1"/>
    <w:basedOn w:val="Normal"/>
    <w:next w:val="Normal"/>
    <w:qFormat/>
    <w:pPr>
      <w:keepNext/>
      <w:spacing w:after="80" w:before="0"/>
      <w:outlineLvl w:val="0"/>
    </w:pPr>
    <w:rPr>
      <w:rFonts w:ascii="Georgia" w:cs="Georgia" w:eastAsia="Georgia" w:hAnsi="Georgia"/>
      <w:b/>
      <w:bCs/>
      <w:color w:val="2F5546"/>
      <w:sz w:val="48"/>
      <w:szCs w:val="48"/>
    </w:rPr>
  </w:style>
  <w:style w:type="paragraph" w:styleId="Heading2">
    <w:name w:val="heading 2"/>
    <w:basedOn w:val="Normal"/>
    <w:next w:val="Corpo"/>
    <w:qFormat/>
    <w:pPr>
      <w:keepNext/>
      <w:pBdr>
        <w:bottom w:val="single" w:color="D9DAD2" w:sz="4" w:space="3"/>
      </w:pBdr>
      <w:spacing w:after="120" w:before="360"/>
      <w:outlineLvl w:val="1"/>
    </w:pPr>
    <w:rPr>
      <w:rFonts w:ascii="Georgia" w:cs="Georgia" w:eastAsia="Georgia" w:hAnsi="Georgia"/>
      <w:b/>
      <w:bCs/>
      <w:color w:val="2F5546"/>
      <w:sz w:val="28"/>
      <w:szCs w:val="28"/>
    </w:rPr>
  </w:style>
  <w:style w:type="paragraph" w:styleId="Heading3">
    <w:name w:val="heading 3"/>
    <w:basedOn w:val="Normal"/>
    <w:next w:val="Corpo"/>
    <w:qFormat/>
    <w:pPr>
      <w:keepNext/>
      <w:spacing w:after="80" w:before="240"/>
      <w:outlineLvl w:val="2"/>
    </w:pPr>
    <w:rPr>
      <w:rFonts w:ascii="Calibri" w:cs="Calibri" w:eastAsia="Calibri" w:hAnsi="Calibri"/>
      <w:b/>
      <w:bCs/>
      <w:color w:val="16191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Invito alla negoziazione assistita e convenzione di negoziazione</dc:title>
  <dc:subject>Formulario Chiostro</dc:subject>
  <dc:creator>Chiostro</dc:creator>
  <dc:language>it-IT</dc:language>
  <cp:keywords>formulario, modello, atto, Chiostro</cp:keywords>
  <dc:description>Formulario Chiostro — aggiornato al 18/10/2026 — chiostro.legal/formulari</dc:description>
  <cp:lastModifiedBy>Chiostro</cp:lastModifiedBy>
  <cp:revision>1</cp:revision>
  <dcterms:created xsi:type="dcterms:W3CDTF">2026-10-18T22:38:38.681Z</dcterms:created>
  <dcterms:modified xsi:type="dcterms:W3CDTF">2026-10-18T22:38:38.681Z</dcterms:modified>
</cp:coreProperties>
</file>

<file path=docProps/custom.xml><?xml version="1.0" encoding="utf-8"?>
<Properties xmlns="http://schemas.openxmlformats.org/officeDocument/2006/custom-properties" xmlns:vt="http://schemas.openxmlformats.org/officeDocument/2006/docPropsVTypes"/>
</file>